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258AD">
      <w:pPr>
        <w:divId w:val="1929924927"/>
        <w:rPr>
          <w:rFonts w:eastAsia="Times New Roman"/>
          <w:vanish/>
        </w:rPr>
      </w:pPr>
      <w:r>
        <w:rPr>
          <w:rFonts w:eastAsia="Times New Roman"/>
          <w:vanish/>
        </w:rPr>
        <w:t>false2020Q2000115817212/31us-gaap:AccountingStandardsUpdate201602MemberP6MP1YP1Y00011581722020-01-012020-06-30xbrli:shares00011581722020-08-06iso4217:USD00011581722020-06-3000011581722019-12-310001158172us-gaap:InvestorMember2020-06-300001158172</w:t>
      </w:r>
      <w:r>
        <w:rPr>
          <w:rFonts w:eastAsia="Times New Roman"/>
          <w:vanish/>
        </w:rPr>
        <w:t>us-gaap:InvestorMember2019-12-31iso4217:USDxbrli:shares00011581722020-04-012020-06-3000011581722019-04-012019-06-3000011581722019-01-012019-06-300001158172us-gaap:CostOfSalesMember2020-04-012020-06-300001158172us-gaap:CostOfSalesMember2019-04-012019-06-300</w:t>
      </w:r>
      <w:r>
        <w:rPr>
          <w:rFonts w:eastAsia="Times New Roman"/>
          <w:vanish/>
        </w:rPr>
        <w:t>001158172us-gaap:CostOfSalesMember2020-01-012020-06-300001158172us-gaap:CostOfSalesMember2019-01-012019-06-300001158172us-gaap:SellingAndMarketingExpenseMember2020-04-012020-06-300001158172us-gaap:SellingAndMarketingExpenseMember2019-04-012019-06-300001158</w:t>
      </w:r>
      <w:r>
        <w:rPr>
          <w:rFonts w:eastAsia="Times New Roman"/>
          <w:vanish/>
        </w:rPr>
        <w:t>172us-gaap:SellingAndMarketingExpenseMember2020-01-012020-06-300001158172us-gaap:SellingAndMarketingExpenseMember2019-01-012019-06-300001158172us-gaap:ResearchAndDevelopmentExpenseMember2020-04-012020-06-300001158172us-gaap:ResearchAndDevelopmentExpenseMem</w:t>
      </w:r>
      <w:r>
        <w:rPr>
          <w:rFonts w:eastAsia="Times New Roman"/>
          <w:vanish/>
        </w:rPr>
        <w:t>ber2019-04-012019-06-300001158172us-gaap:ResearchAndDevelopmentExpenseMember2020-01-012020-06-300001158172us-gaap:ResearchAndDevelopmentExpenseMember2019-01-012019-06-300001158172us-gaap:GeneralAndAdministrativeExpenseMember2020-04-012020-06-300001158172us</w:t>
      </w:r>
      <w:r>
        <w:rPr>
          <w:rFonts w:eastAsia="Times New Roman"/>
          <w:vanish/>
        </w:rPr>
        <w:t>-gaap:GeneralAndAdministrativeExpenseMember2019-04-012019-06-300001158172us-gaap:GeneralAndAdministrativeExpenseMember2020-01-012020-06-300001158172us-gaap:GeneralAndAdministrativeExpenseMember2019-01-012019-06-300001158172us-gaap:RestructuringChargesMembe</w:t>
      </w:r>
      <w:r>
        <w:rPr>
          <w:rFonts w:eastAsia="Times New Roman"/>
          <w:vanish/>
        </w:rPr>
        <w:t>r2020-04-012020-06-300001158172us-gaap:RestructuringChargesMember2019-04-012019-06-300001158172us-gaap:RestructuringChargesMember2020-01-012020-06-300001158172us-gaap:RestructuringChargesMember2019-01-012019-06-300001158172us-gaap:CommonStockMember2019-12-</w:t>
      </w:r>
      <w:r>
        <w:rPr>
          <w:rFonts w:eastAsia="Times New Roman"/>
          <w:vanish/>
        </w:rPr>
        <w:t>310001158172us-gaap:AdditionalPaidInCapitalMember2019-12-310001158172us-gaap:AccumulatedOtherComprehensiveIncomeMember2019-12-310001158172us-gaap:RetainedEarningsMember2019-12-310001158172us-gaap:TreasuryStockMember2019-12-310001158172us-gaap:RetainedEarni</w:t>
      </w:r>
      <w:r>
        <w:rPr>
          <w:rFonts w:eastAsia="Times New Roman"/>
          <w:vanish/>
        </w:rPr>
        <w:t>ngsMember2020-01-012020-03-3100011581722020-01-012020-03-310001158172us-gaap:AccumulatedOtherComprehensiveIncomeMember2020-01-012020-03-310001158172us-gaap:CommonStockMember2020-01-012020-03-310001158172us-gaap:AdditionalPaidInCapitalMember2020-01-012020-0</w:t>
      </w:r>
      <w:r>
        <w:rPr>
          <w:rFonts w:eastAsia="Times New Roman"/>
          <w:vanish/>
        </w:rPr>
        <w:t>3-310001158172us-gaap:CommonStockMember2020-03-310001158172us-gaap:AdditionalPaidInCapitalMember2020-03-310001158172us-gaap:AccumulatedOtherComprehensiveIncomeMember2020-03-310001158172us-gaap:RetainedEarningsMember2020-03-310001158172us-gaap:TreasuryStock</w:t>
      </w:r>
      <w:r>
        <w:rPr>
          <w:rFonts w:eastAsia="Times New Roman"/>
          <w:vanish/>
        </w:rPr>
        <w:t>Member2020-03-3100011581722020-03-310001158172us-gaap:RetainedEarningsMember2020-04-012020-06-300001158172us-gaap:AccumulatedOtherComprehensiveIncomeMember2020-04-012020-06-300001158172us-gaap:CommonStockMember2020-04-012020-06-300001158172us-gaap:Addition</w:t>
      </w:r>
      <w:r>
        <w:rPr>
          <w:rFonts w:eastAsia="Times New Roman"/>
          <w:vanish/>
        </w:rPr>
        <w:t>alPaidInCapitalMember2020-04-012020-06-300001158172us-gaap:CommonStockMember2020-06-300001158172us-gaap:AdditionalPaidInCapitalMember2020-06-300001158172us-gaap:AccumulatedOtherComprehensiveIncomeMember2020-06-300001158172us-gaap:RetainedEarningsMember2020</w:t>
      </w:r>
      <w:r>
        <w:rPr>
          <w:rFonts w:eastAsia="Times New Roman"/>
          <w:vanish/>
        </w:rPr>
        <w:t>-06-300001158172us-gaap:TreasuryStockMember2020-06-300001158172us-gaap:CommonStockMember2018-12-310001158172us-gaap:AdditionalPaidInCapitalMember2018-12-310001158172us-gaap:AccumulatedOtherComprehensiveIncomeMember2018-12-310001158172us-gaap:RetainedEarnin</w:t>
      </w:r>
      <w:r>
        <w:rPr>
          <w:rFonts w:eastAsia="Times New Roman"/>
          <w:vanish/>
        </w:rPr>
        <w:t>gsMember2018-12-310001158172us-gaap:TreasuryStockMember2018-12-3100011581722018-12-3100011581722018-01-012018-12-310001158172us-gaap:RetainedEarningsMembersrt:CumulativeEffectPeriodOfAdoptionAdjustmentMember2018-12-310001158172srt:CumulativeEffectPeriodOfA</w:t>
      </w:r>
      <w:r>
        <w:rPr>
          <w:rFonts w:eastAsia="Times New Roman"/>
          <w:vanish/>
        </w:rPr>
        <w:t>doptionAdjustmentMember2018-12-310001158172us-gaap:RetainedEarningsMember2019-01-012019-03-3100011581722019-01-012019-03-310001158172us-gaap:AccumulatedOtherComprehensiveIncomeMember2019-01-012019-03-310001158172us-gaap:CommonStockMember2019-01-012019-03-3</w:t>
      </w:r>
      <w:r>
        <w:rPr>
          <w:rFonts w:eastAsia="Times New Roman"/>
          <w:vanish/>
        </w:rPr>
        <w:t>10001158172us-gaap:AdditionalPaidInCapitalMember2019-01-012019-03-310001158172us-gaap:CommonStockMember2019-03-310001158172us-gaap:AdditionalPaidInCapitalMember2019-03-310001158172us-gaap:AccumulatedOtherComprehensiveIncomeMember2019-03-310001158172us-gaap</w:t>
      </w:r>
      <w:r>
        <w:rPr>
          <w:rFonts w:eastAsia="Times New Roman"/>
          <w:vanish/>
        </w:rPr>
        <w:t>:RetainedEarningsMember2019-03-310001158172us-gaap:TreasuryStockMember2019-03-3100011581722019-03-310001158172us-gaap:RetainedEarningsMember2019-04-012019-06-300001158172us-gaap:AccumulatedOtherComprehensiveIncomeMember2019-04-012019-06-300001158172us-gaap</w:t>
      </w:r>
      <w:r>
        <w:rPr>
          <w:rFonts w:eastAsia="Times New Roman"/>
          <w:vanish/>
        </w:rPr>
        <w:t>:CommonStockMember2019-04-012019-06-300001158172us-gaap:AdditionalPaidInCapitalMember2019-04-012019-06-300001158172us-gaap:CommonStockMember2019-06-300001158172us-gaap:AdditionalPaidInCapitalMember2019-06-300001158172us-gaap:AccumulatedOtherComprehensiveIn</w:t>
      </w:r>
      <w:r>
        <w:rPr>
          <w:rFonts w:eastAsia="Times New Roman"/>
          <w:vanish/>
        </w:rPr>
        <w:t>comeMember2019-06-300001158172us-gaap:RetainedEarningsMember2019-06-300001158172us-gaap:TreasuryStockMember2019-06-3000011581722019-06-300001158172us-gaap:InvestorMember2020-01-012020-06-300001158172us-gaap:InvestorMember2019-01-012019-06-30scor:segment000</w:t>
      </w:r>
      <w:r>
        <w:rPr>
          <w:rFonts w:eastAsia="Times New Roman"/>
          <w:vanish/>
        </w:rPr>
        <w:t>1158172scor:StarboardValueLPMemberus-gaap:ConvertibleNotesPayableMemberscor:StarboardNotesMember2018-12-310001158172scor:StarboardValueLPMemberus-gaap:ConvertibleNotesPayableMemberscor:StarboardNotesMember2018-01-012018-12-310001158172us-gaap:PrivatePlacem</w:t>
      </w:r>
      <w:r>
        <w:rPr>
          <w:rFonts w:eastAsia="Times New Roman"/>
          <w:vanish/>
        </w:rPr>
        <w:t>entMember2019-06-262019-06-26scor:series_of_warrant00011581722019-10-142019-10-140001158172us-gaap:NotesPayableOtherPayablesMemberscor:SecuredTermNoteMember2019-12-31xbrli:pure0001158172scor:StarboardNotesAndSecuredTermNoteMemberscor:ConvertibleNotesPayabl</w:t>
      </w:r>
      <w:r>
        <w:rPr>
          <w:rFonts w:eastAsia="Times New Roman"/>
          <w:vanish/>
        </w:rPr>
        <w:t>eAndNotesPayableMember2020-06-3000011581722019-06-012019-06-300001158172us-gaap:IncomeApproachValuationTechniqueMemberus-gaap:MeasurementInputDiscountRateMember2020-03-310001158172scor:RatingsandPlanningMember2020-04-012020-06-300001158172scor:RatingsandPl</w:t>
      </w:r>
      <w:r>
        <w:rPr>
          <w:rFonts w:eastAsia="Times New Roman"/>
          <w:vanish/>
        </w:rPr>
        <w:t>anningMember2019-04-012019-06-300001158172scor:RatingsandPlanningMember2020-01-012020-06-300001158172scor:RatingsandPlanningMember2019-01-012019-06-300001158172scor:AnalyticsandOptimizationMember2020-04-012020-06-300001158172scor:AnalyticsandOptimizationMe</w:t>
      </w:r>
      <w:r>
        <w:rPr>
          <w:rFonts w:eastAsia="Times New Roman"/>
          <w:vanish/>
        </w:rPr>
        <w:t>mber2019-04-012019-06-300001158172scor:AnalyticsandOptimizationMember2020-01-012020-06-300001158172scor:AnalyticsandOptimizationMember2019-01-012019-06-300001158172scor:MoviesReportingandAnalyticsMember2020-04-012020-06-300001158172scor:MoviesReportingandA</w:t>
      </w:r>
      <w:r>
        <w:rPr>
          <w:rFonts w:eastAsia="Times New Roman"/>
          <w:vanish/>
        </w:rPr>
        <w:t>nalyticsMember2019-04-012019-06-300001158172scor:MoviesReportingandAnalyticsMember2020-01-012020-06-300001158172scor:MoviesReportingandAnalyticsMember2019-01-012019-06-300001158172srt:ReportableGeographicalComponentsMembercountry:US2020-04-012020-06-300001</w:t>
      </w:r>
      <w:r>
        <w:rPr>
          <w:rFonts w:eastAsia="Times New Roman"/>
          <w:vanish/>
        </w:rPr>
        <w:t>158172srt:ReportableGeographicalComponentsMembercountry:US2019-04-012019-06-300001158172srt:ReportableGeographicalComponentsMembercountry:US2020-01-012020-06-300001158172srt:ReportableGeographicalComponentsMembercountry:US2019-01-012019-06-300001158172srt:</w:t>
      </w:r>
      <w:r>
        <w:rPr>
          <w:rFonts w:eastAsia="Times New Roman"/>
          <w:vanish/>
        </w:rPr>
        <w:t>ReportableGeographicalComponentsMembersrt:EuropeMember2020-04-012020-06-300001158172srt:ReportableGeographicalComponentsMembersrt:EuropeMember2019-04-012019-06-300001158172srt:ReportableGeographicalComponentsMembersrt:EuropeMember2020-01-012020-06-30000115</w:t>
      </w:r>
      <w:r>
        <w:rPr>
          <w:rFonts w:eastAsia="Times New Roman"/>
          <w:vanish/>
        </w:rPr>
        <w:t>8172srt:ReportableGeographicalComponentsMembersrt:EuropeMember2019-01-012019-06-300001158172srt:ReportableGeographicalComponentsMembercountry:CA2020-04-012020-06-300001158172srt:ReportableGeographicalComponentsMembercountry:CA2019-04-012019-06-300001158172</w:t>
      </w:r>
      <w:r>
        <w:rPr>
          <w:rFonts w:eastAsia="Times New Roman"/>
          <w:vanish/>
        </w:rPr>
        <w:t>srt:ReportableGeographicalComponentsMembercountry:CA2020-01-012020-06-300001158172srt:ReportableGeographicalComponentsMembercountry:CA2019-01-012019-06-300001158172srt:LatinAmericaMembersrt:ReportableGeographicalComponentsMember2020-04-012020-06-3000011581</w:t>
      </w:r>
      <w:r>
        <w:rPr>
          <w:rFonts w:eastAsia="Times New Roman"/>
          <w:vanish/>
        </w:rPr>
        <w:t>72srt:LatinAmericaMembersrt:ReportableGeographicalComponentsMember2019-04-012019-06-300001158172srt:LatinAmericaMembersrt:ReportableGeographicalComponentsMember2020-01-012020-06-300001158172srt:LatinAmericaMembersrt:ReportableGeographicalComponentsMember20</w:t>
      </w:r>
      <w:r>
        <w:rPr>
          <w:rFonts w:eastAsia="Times New Roman"/>
          <w:vanish/>
        </w:rPr>
        <w:t>19-01-012019-06-300001158172scor:OtherCountryMembersrt:ReportableGeographicalComponentsMember2020-04-012020-06-300001158172scor:OtherCountryMembersrt:ReportableGeographicalComponentsMember2019-04-012019-06-300001158172scor:OtherCountryMembersrt:ReportableG</w:t>
      </w:r>
      <w:r>
        <w:rPr>
          <w:rFonts w:eastAsia="Times New Roman"/>
          <w:vanish/>
        </w:rPr>
        <w:t>eographicalComponentsMember2020-01-012020-06-300001158172scor:OtherCountryMembersrt:ReportableGeographicalComponentsMember2019-01-012019-06-300001158172us-gaap:TransferredOverTimeMember2020-04-012020-06-300001158172us-gaap:TransferredOverTimeMember2019-04-</w:t>
      </w:r>
      <w:r>
        <w:rPr>
          <w:rFonts w:eastAsia="Times New Roman"/>
          <w:vanish/>
        </w:rPr>
        <w:t>012019-06-300001158172us-gaap:TransferredOverTimeMember2020-01-012020-06-300001158172us-gaap:TransferredOverTimeMember2019-01-012019-06-300001158172us-gaap:TransferredAtPointInTimeMember2020-04-012020-06-300001158172us-gaap:TransferredAtPointInTimeMember20</w:t>
      </w:r>
      <w:r>
        <w:rPr>
          <w:rFonts w:eastAsia="Times New Roman"/>
          <w:vanish/>
        </w:rPr>
        <w:t>19-04-012019-06-300001158172us-gaap:TransferredAtPointInTimeMember2020-01-012020-06-300001158172us-gaap:TransferredAtPointInTimeMember2019-01-012019-06-300001158172scor:ContractwithCustomerLiabilityCurrentMember2020-01-012020-06-300001158172scor:Contractwi</w:t>
      </w:r>
      <w:r>
        <w:rPr>
          <w:rFonts w:eastAsia="Times New Roman"/>
          <w:vanish/>
        </w:rPr>
        <w:t>thCustomerLiabilityCurrentMember2019-01-012019-06-300001158172scor:ContractWithCustomerLiabilityNoncurrentMember2020-01-012020-06-3000011581722020-07-012020-06-3000011581722021-01-012020-06-3000011581722022-01-012020-06-300001158172scor:StarboardValueLPMem</w:t>
      </w:r>
      <w:r>
        <w:rPr>
          <w:rFonts w:eastAsia="Times New Roman"/>
          <w:vanish/>
        </w:rPr>
        <w:t>berscor:InitialNotesIssuedJanuary162018Memberus-gaap:ConvertibleNotesPayableMember2018-01-160001158172scor:StarboardValueLPMemberscor:InitialNotesIssuedJanuary162018Memberus-gaap:ConvertibleNotesPayableMember2018-01-162018-01-160001158172scor:StarboardValu</w:t>
      </w:r>
      <w:r>
        <w:rPr>
          <w:rFonts w:eastAsia="Times New Roman"/>
          <w:vanish/>
        </w:rPr>
        <w:t>eLPMemberscor:InitialNotesIssuedJanuary162018Memberus-gaap:ConvertibleNotesPayableMember2019-04-03scor:day0001158172scor:StarboardValueLPMemberscor:InitialNotesIssuedJanuary162018Memberus-gaap:ConvertibleNotesPayableMembersrt:MinimumMember2018-01-160001158</w:t>
      </w:r>
      <w:r>
        <w:rPr>
          <w:rFonts w:eastAsia="Times New Roman"/>
          <w:vanish/>
        </w:rPr>
        <w:t>172scor:StarboardValueLPMemberscor:InitialNotesIssuedJanuary162018Memberus-gaap:ConvertibleNotesPayableMember2019-01-310001158172scor:StarboardValueLPMemberscor:InitialNotesIssuedJanuary162018Memberus-gaap:ConvertibleNotesPayableMembersrt:MaximumMember2019</w:t>
      </w:r>
      <w:r>
        <w:rPr>
          <w:rFonts w:eastAsia="Times New Roman"/>
          <w:vanish/>
        </w:rPr>
        <w:t>-01-310001158172scor:StarboardValueLPMemberscor:InitialNotesIssuedJanuary162018Memberus-gaap:ConvertibleNotesPayableMembersrt:MaximumMember2020-01-300001158172scor:StarboardValueLPMemberscor:InitialNotesIssuedJanuary162018Memberus-gaap:ConvertibleNotesPaya</w:t>
      </w:r>
      <w:r>
        <w:rPr>
          <w:rFonts w:eastAsia="Times New Roman"/>
          <w:vanish/>
        </w:rPr>
        <w:t>bleMembersrt:MaximumMember2018-01-160001158172scor:StarboardValueLPMemberscor:InitialNotesIssuedJanuary162018Memberus-gaap:ConvertibleNotesPayableMember2020-01-022020-01-020001158172scor:StarboardValueLPMemberscor:InitialNotesIssuedJanuary162018Memberus-ga</w:t>
      </w:r>
      <w:r>
        <w:rPr>
          <w:rFonts w:eastAsia="Times New Roman"/>
          <w:vanish/>
        </w:rPr>
        <w:t>ap:ConvertibleNotesPayableMemberus-gaap:SubsequentEventMember2020-07-012020-07-010001158172scor:StarboardValueLPMemberscor:InitialNotesIssuedJanuary162018Memberus-gaap:ConvertibleNotesPayableMember2020-04-012020-04-010001158172scor:StarboardValueLPMembersc</w:t>
      </w:r>
      <w:r>
        <w:rPr>
          <w:rFonts w:eastAsia="Times New Roman"/>
          <w:vanish/>
        </w:rPr>
        <w:t>or:InitialNotesIssuedJanuary162018Memberus-gaap:ConvertibleNotesPayableMember2020-06-300001158172scor:DebtInstrumentCovenantPeriodTwoMemberscor:StarboardValueLPMemberus-gaap:ConvertibleNotesPayableMemberscor:StarboardNotesMember2019-08-060001158172scor:Opt</w:t>
      </w:r>
      <w:r>
        <w:rPr>
          <w:rFonts w:eastAsia="Times New Roman"/>
          <w:vanish/>
        </w:rPr>
        <w:t>ionNotesIssuedMay172018Memberscor:StarboardValueLPMemberus-gaap:ConvertibleNotesPayableMember2018-05-170001158172scor:OptionNotesIssuedMay172018Memberscor:StarboardValueLPMemberus-gaap:ConvertibleNotesPayableMember2018-05-172018-05-170001158172scor:Initial</w:t>
      </w:r>
      <w:r>
        <w:rPr>
          <w:rFonts w:eastAsia="Times New Roman"/>
          <w:vanish/>
        </w:rPr>
        <w:t>NotesIssuedJanuary162018Memberus-gaap:ConvertibleNotesPayableMember2020-06-300001158172scor:OptionNotesIssuedMay172018Memberus-gaap:ConvertibleNotesPayableMember2020-06-300001158172us-gaap:ConvertibleNotesPayableMember2020-06-300001158172scor:InitialNotesI</w:t>
      </w:r>
      <w:r>
        <w:rPr>
          <w:rFonts w:eastAsia="Times New Roman"/>
          <w:vanish/>
        </w:rPr>
        <w:t>ssuedJanuary162018Memberus-gaap:ConvertibleNotesPayableMember2019-12-310001158172scor:OptionNotesIssuedMay172018Memberus-gaap:ConvertibleNotesPayableMember2019-12-310001158172us-gaap:ConvertibleNotesPayableMember2019-12-310001158172us-gaap:ConvertibleNotes</w:t>
      </w:r>
      <w:r>
        <w:rPr>
          <w:rFonts w:eastAsia="Times New Roman"/>
          <w:vanish/>
        </w:rPr>
        <w:t>PayableMember2020-04-012020-06-300001158172us-gaap:ConvertibleNotesPayableMember2020-01-012020-06-300001158172us-gaap:ConvertibleNotesPayableMember2019-04-012019-06-300001158172us-gaap:ConvertibleNotesPayableMember2019-01-012019-06-300001158172us-gaap:Fair</w:t>
      </w:r>
      <w:r>
        <w:rPr>
          <w:rFonts w:eastAsia="Times New Roman"/>
          <w:vanish/>
        </w:rPr>
        <w:t>ValueInputsLevel3Memberus-gaap:ConvertibleNotesPayableMember2020-06-300001158172us-gaap:NotesPayableOtherPayablesMemberscor:SecuredTermNoteMember2020-06-300001158172us-gaap:NotesPayableOtherPayablesMemberscor:SecuredTermNoteMember2020-04-012020-06-30000115</w:t>
      </w:r>
      <w:r>
        <w:rPr>
          <w:rFonts w:eastAsia="Times New Roman"/>
          <w:vanish/>
        </w:rPr>
        <w:t>8172us-gaap:NotesPayableOtherPayablesMemberscor:SecuredTermNoteMember2020-01-012020-06-300001158172us-gaap:NotesPayableOtherPayablesMemberus-gaap:FairValueInputsLevel3Memberscor:SecuredTermNoteMember2020-06-300001158172us-gaap:LetterOfCreditMemberscor:Well</w:t>
      </w:r>
      <w:r>
        <w:rPr>
          <w:rFonts w:eastAsia="Times New Roman"/>
          <w:vanish/>
        </w:rPr>
        <w:t>sFargoBankN.A.Member2020-06-300001158172scor:SaleLeasebackTransactionMember2019-06-012019-06-300001158172scor:SaleLeasebackTransactionMember2020-06-300001158172us-gaap:PrivatePlacementMember2019-06-260001158172scor:SeriesB1WarrantMemberus-gaap:PrivatePlace</w:t>
      </w:r>
      <w:r>
        <w:rPr>
          <w:rFonts w:eastAsia="Times New Roman"/>
          <w:vanish/>
        </w:rPr>
        <w:t>mentMember2019-06-262019-06-260001158172scor:SeriesB1WarrantMemberus-gaap:PrivatePlacementMember2019-06-260001158172scor:SeriesB2WarrantMemberus-gaap:PrivatePlacementMember2019-06-262019-06-260001158172scor:SeriesB2WarrantMemberus-gaap:PrivatePlacementMemb</w:t>
      </w:r>
      <w:r>
        <w:rPr>
          <w:rFonts w:eastAsia="Times New Roman"/>
          <w:vanish/>
        </w:rPr>
        <w:t>er2019-06-260001158172scor:SeriesAWarrantMemberus-gaap:PrivatePlacementMember2019-06-262019-06-260001158172scor:SeriesAWarrantMemberus-gaap:PrivatePlacementMember2019-06-260001158172scor:SeriesCWarrantMemberus-gaap:PrivatePlacementMember2019-06-262019-06-2</w:t>
      </w:r>
      <w:r>
        <w:rPr>
          <w:rFonts w:eastAsia="Times New Roman"/>
          <w:vanish/>
        </w:rPr>
        <w:t>60001158172scor:SeriesCWarrantMemberus-gaap:PrivatePlacementMember2019-06-260001158172scor:SeriesAWarrantMember2019-10-142019-10-140001158172us-gaap:MoneyMarketFundsMemberus-gaap:FairValueInputsLevel1Memberus-gaap:FairValueMeasurementsRecurringMember2020-0</w:t>
      </w:r>
      <w:r>
        <w:rPr>
          <w:rFonts w:eastAsia="Times New Roman"/>
          <w:vanish/>
        </w:rPr>
        <w:t>6-300001158172us-gaap:MoneyMarketFundsMemberus-gaap:FairValueInputsLevel2Memberus-gaap:FairValueMeasurementsRecurringMember2020-06-300001158172us-gaap:MoneyMarketFundsMemberus-gaap:FairValueInputsLevel3Memberus-gaap:FairValueMeasurementsRecurringMember2020</w:t>
      </w:r>
      <w:r>
        <w:rPr>
          <w:rFonts w:eastAsia="Times New Roman"/>
          <w:vanish/>
        </w:rPr>
        <w:t>-06-300001158172us-gaap:MoneyMarketFundsMemberus-gaap:FairValueMeasurementsRecurringMember2020-06-300001158172us-gaap:MoneyMarketFundsMemberus-gaap:FairValueInputsLevel1Memberus-gaap:FairValueMeasurementsRecurringMember2019-12-310001158172us-gaap:MoneyMark</w:t>
      </w:r>
      <w:r>
        <w:rPr>
          <w:rFonts w:eastAsia="Times New Roman"/>
          <w:vanish/>
        </w:rPr>
        <w:t>etFundsMemberus-gaap:FairValueInputsLevel2Memberus-gaap:FairValueMeasurementsRecurringMember2019-12-310001158172us-gaap:MoneyMarketFundsMemberus-gaap:FairValueInputsLevel3Memberus-gaap:FairValueMeasurementsRecurringMember2019-12-310001158172us-gaap:MoneyMa</w:t>
      </w:r>
      <w:r>
        <w:rPr>
          <w:rFonts w:eastAsia="Times New Roman"/>
          <w:vanish/>
        </w:rPr>
        <w:t>rketFundsMemberus-gaap:FairValueMeasurementsRecurringMember2019-12-310001158172us-gaap:FairValueInputsLevel1Memberus-gaap:FairValueMeasurementsRecurringMemberus-gaap:CertificatesOfDepositMember2020-06-300001158172us-gaap:FairValueInputsLevel2Memberus-gaap:</w:t>
      </w:r>
      <w:r>
        <w:rPr>
          <w:rFonts w:eastAsia="Times New Roman"/>
          <w:vanish/>
        </w:rPr>
        <w:t>FairValueMeasurementsRecurringMemberus-gaap:CertificatesOfDepositMember2020-06-300001158172us-gaap:FairValueInputsLevel3Memberus-gaap:FairValueMeasurementsRecurringMemberus-gaap:CertificatesOfDepositMember2020-06-300001158172us-gaap:FairValueMeasurementsRe</w:t>
      </w:r>
      <w:r>
        <w:rPr>
          <w:rFonts w:eastAsia="Times New Roman"/>
          <w:vanish/>
        </w:rPr>
        <w:t>curringMemberus-gaap:CertificatesOfDepositMember2020-06-300001158172us-gaap:FairValueInputsLevel1Memberus-gaap:FairValueMeasurementsRecurringMemberus-gaap:CertificatesOfDepositMember2019-12-310001158172us-gaap:FairValueInputsLevel2Memberus-gaap:FairValueMe</w:t>
      </w:r>
      <w:r>
        <w:rPr>
          <w:rFonts w:eastAsia="Times New Roman"/>
          <w:vanish/>
        </w:rPr>
        <w:t>asurementsRecurringMemberus-gaap:CertificatesOfDepositMember2019-12-310001158172us-gaap:FairValueInputsLevel3Memberus-gaap:FairValueMeasurementsRecurringMemberus-gaap:CertificatesOfDepositMember2019-12-310001158172us-gaap:FairValueMeasurementsRecurringMemb</w:t>
      </w:r>
      <w:r>
        <w:rPr>
          <w:rFonts w:eastAsia="Times New Roman"/>
          <w:vanish/>
        </w:rPr>
        <w:t>erus-gaap:CertificatesOfDepositMember2019-12-310001158172us-gaap:FairValueInputsLevel1Memberus-gaap:FairValueMeasurementsRecurringMember2020-06-300001158172us-gaap:FairValueInputsLevel2Memberus-gaap:FairValueMeasurementsRecurringMember2020-06-300001158172u</w:t>
      </w:r>
      <w:r>
        <w:rPr>
          <w:rFonts w:eastAsia="Times New Roman"/>
          <w:vanish/>
        </w:rPr>
        <w:t>s-gaap:FairValueInputsLevel3Memberus-gaap:FairValueMeasurementsRecurringMember2020-06-300001158172us-gaap:FairValueMeasurementsRecurringMember2020-06-300001158172us-gaap:FairValueInputsLevel1Memberus-gaap:FairValueMeasurementsRecurringMember2019-12-3100011</w:t>
      </w:r>
      <w:r>
        <w:rPr>
          <w:rFonts w:eastAsia="Times New Roman"/>
          <w:vanish/>
        </w:rPr>
        <w:t>58172us-gaap:FairValueInputsLevel2Memberus-gaap:FairValueMeasurementsRecurringMember2019-12-310001158172us-gaap:FairValueInputsLevel3Memberus-gaap:FairValueMeasurementsRecurringMember2019-12-310001158172us-gaap:FairValueMeasurementsRecurringMember2019-12-3</w:t>
      </w:r>
      <w:r>
        <w:rPr>
          <w:rFonts w:eastAsia="Times New Roman"/>
          <w:vanish/>
        </w:rPr>
        <w:t>10001158172us-gaap:InterestRateContractMemberus-gaap:FairValueInputsLevel1Memberus-gaap:NondesignatedMemberus-gaap:FairValueMeasurementsRecurringMember2020-06-300001158172us-gaap:InterestRateContractMemberus-gaap:NondesignatedMemberus-gaap:FairValueInputsL</w:t>
      </w:r>
      <w:r>
        <w:rPr>
          <w:rFonts w:eastAsia="Times New Roman"/>
          <w:vanish/>
        </w:rPr>
        <w:t>evel2Memberus-gaap:FairValueMeasurementsRecurringMember2020-06-300001158172us-gaap:InterestRateContractMemberus-gaap:FairValueInputsLevel3Memberus-gaap:NondesignatedMemberus-gaap:FairValueMeasurementsRecurringMember2020-06-300001158172us-gaap:InterestRateC</w:t>
      </w:r>
      <w:r>
        <w:rPr>
          <w:rFonts w:eastAsia="Times New Roman"/>
          <w:vanish/>
        </w:rPr>
        <w:t>ontractMemberus-gaap:NondesignatedMemberus-gaap:FairValueMeasurementsRecurringMember2020-06-300001158172us-gaap:InterestRateContractMemberus-gaap:FairValueInputsLevel1Memberus-gaap:NondesignatedMemberus-gaap:FairValueMeasurementsRecurringMember2019-12-3100</w:t>
      </w:r>
      <w:r>
        <w:rPr>
          <w:rFonts w:eastAsia="Times New Roman"/>
          <w:vanish/>
        </w:rPr>
        <w:t>01158172us-gaap:InterestRateContractMemberus-gaap:NondesignatedMemberus-gaap:FairValueInputsLevel2Memberus-gaap:FairValueMeasurementsRecurringMember2019-12-310001158172us-gaap:InterestRateContractMemberus-gaap:FairValueInputsLevel3Memberus-gaap:Nondesignat</w:t>
      </w:r>
      <w:r>
        <w:rPr>
          <w:rFonts w:eastAsia="Times New Roman"/>
          <w:vanish/>
        </w:rPr>
        <w:t>edMemberus-gaap:FairValueMeasurementsRecurringMember2019-12-310001158172us-gaap:InterestRateContractMemberus-gaap:NondesignatedMemberus-gaap:FairValueMeasurementsRecurringMember2019-12-310001158172scor:MakeWholeChangeOfControlMemberus-gaap:FairValueInputsL</w:t>
      </w:r>
      <w:r>
        <w:rPr>
          <w:rFonts w:eastAsia="Times New Roman"/>
          <w:vanish/>
        </w:rPr>
        <w:t>evel1Memberus-gaap:NondesignatedMemberus-gaap:FairValueMeasurementsRecurringMember2020-06-300001158172scor:MakeWholeChangeOfControlMemberus-gaap:NondesignatedMemberus-gaap:FairValueInputsLevel2Memberus-gaap:FairValueMeasurementsRecurringMember2020-06-30000</w:t>
      </w:r>
      <w:r>
        <w:rPr>
          <w:rFonts w:eastAsia="Times New Roman"/>
          <w:vanish/>
        </w:rPr>
        <w:t>1158172scor:MakeWholeChangeOfControlMemberus-gaap:FairValueInputsLevel3Memberus-gaap:NondesignatedMemberus-gaap:FairValueMeasurementsRecurringMember2020-06-300001158172scor:MakeWholeChangeOfControlMemberus-gaap:NondesignatedMemberus-gaap:FairValueMeasureme</w:t>
      </w:r>
      <w:r>
        <w:rPr>
          <w:rFonts w:eastAsia="Times New Roman"/>
          <w:vanish/>
        </w:rPr>
        <w:t>ntsRecurringMember2020-06-300001158172scor:MakeWholeChangeOfControlMemberus-gaap:FairValueInputsLevel1Memberus-gaap:NondesignatedMemberus-gaap:FairValueMeasurementsRecurringMember2019-12-310001158172scor:MakeWholeChangeOfControlMemberus-gaap:NondesignatedM</w:t>
      </w:r>
      <w:r>
        <w:rPr>
          <w:rFonts w:eastAsia="Times New Roman"/>
          <w:vanish/>
        </w:rPr>
        <w:t>emberus-gaap:FairValueInputsLevel2Memberus-gaap:FairValueMeasurementsRecurringMember2019-12-310001158172scor:MakeWholeChangeOfControlMemberus-gaap:FairValueInputsLevel3Memberus-gaap:NondesignatedMemberus-gaap:FairValueMeasurementsRecurringMember2019-12-310</w:t>
      </w:r>
      <w:r>
        <w:rPr>
          <w:rFonts w:eastAsia="Times New Roman"/>
          <w:vanish/>
        </w:rPr>
        <w:t>001158172scor:MakeWholeChangeOfControlMemberus-gaap:NondesignatedMemberus-gaap:FairValueMeasurementsRecurringMember2019-12-310001158172us-gaap:FairValueInputsLevel1Memberus-gaap:NondesignatedMemberus-gaap:FairValueMeasurementsRecurringMemberscor:ChangeinCo</w:t>
      </w:r>
      <w:r>
        <w:rPr>
          <w:rFonts w:eastAsia="Times New Roman"/>
          <w:vanish/>
        </w:rPr>
        <w:t>ntrolMember2020-06-300001158172us-gaap:NondesignatedMemberus-gaap:FairValueInputsLevel2Memberus-gaap:FairValueMeasurementsRecurringMemberscor:ChangeinControlMember2020-06-300001158172us-gaap:FairValueInputsLevel3Memberus-gaap:NondesignatedMemberus-gaap:Fai</w:t>
      </w:r>
      <w:r>
        <w:rPr>
          <w:rFonts w:eastAsia="Times New Roman"/>
          <w:vanish/>
        </w:rPr>
        <w:t>rValueMeasurementsRecurringMemberscor:ChangeinControlMember2020-06-300001158172us-gaap:NondesignatedMemberus-gaap:FairValueMeasurementsRecurringMemberscor:ChangeinControlMember2020-06-300001158172us-gaap:FairValueInputsLevel1Memberus-gaap:NondesignatedMemb</w:t>
      </w:r>
      <w:r>
        <w:rPr>
          <w:rFonts w:eastAsia="Times New Roman"/>
          <w:vanish/>
        </w:rPr>
        <w:t>erus-gaap:FairValueMeasurementsRecurringMemberscor:ChangeinControlMember2019-12-310001158172us-gaap:NondesignatedMemberus-gaap:FairValueInputsLevel2Memberus-gaap:FairValueMeasurementsRecurringMemberscor:ChangeinControlMember2019-12-310001158172us-gaap:Fair</w:t>
      </w:r>
      <w:r>
        <w:rPr>
          <w:rFonts w:eastAsia="Times New Roman"/>
          <w:vanish/>
        </w:rPr>
        <w:t>ValueInputsLevel3Memberus-gaap:NondesignatedMemberus-gaap:FairValueMeasurementsRecurringMemberscor:ChangeinControlMember2019-12-310001158172us-gaap:NondesignatedMemberus-gaap:FairValueMeasurementsRecurringMemberscor:ChangeinControlMember2019-12-31000115817</w:t>
      </w:r>
      <w:r>
        <w:rPr>
          <w:rFonts w:eastAsia="Times New Roman"/>
          <w:vanish/>
        </w:rPr>
        <w:t>2us-gaap:FairValueInputsLevel1Memberscor:SeriesAWarrantMemberus-gaap:FairValueMeasurementsRecurringMember2020-06-300001158172scor:SeriesAWarrantMemberus-gaap:FairValueInputsLevel2Memberus-gaap:FairValueMeasurementsRecurringMember2020-06-300001158172scor:Se</w:t>
      </w:r>
      <w:r>
        <w:rPr>
          <w:rFonts w:eastAsia="Times New Roman"/>
          <w:vanish/>
        </w:rPr>
        <w:t>riesAWarrantMemberus-gaap:FairValueInputsLevel3Memberus-gaap:FairValueMeasurementsRecurringMember2020-06-300001158172scor:SeriesAWarrantMemberus-gaap:FairValueMeasurementsRecurringMember2020-06-300001158172us-gaap:FairValueInputsLevel1Memberscor:SeriesAWar</w:t>
      </w:r>
      <w:r>
        <w:rPr>
          <w:rFonts w:eastAsia="Times New Roman"/>
          <w:vanish/>
        </w:rPr>
        <w:t>rantMemberus-gaap:FairValueMeasurementsRecurringMember2019-12-310001158172scor:SeriesAWarrantMemberus-gaap:FairValueInputsLevel2Memberus-gaap:FairValueMeasurementsRecurringMember2019-12-310001158172scor:SeriesAWarrantMemberus-gaap:FairValueInputsLevel3Memb</w:t>
      </w:r>
      <w:r>
        <w:rPr>
          <w:rFonts w:eastAsia="Times New Roman"/>
          <w:vanish/>
        </w:rPr>
        <w:t>erus-gaap:FairValueMeasurementsRecurringMember2019-12-310001158172scor:SeriesAWarrantMemberus-gaap:FairValueMeasurementsRecurringMember2019-12-310001158172us-gaap:FairValueInputsLevel1Memberscor:SeriesB2WarrantMemberus-gaap:FairValueMeasurementsRecurringMe</w:t>
      </w:r>
      <w:r>
        <w:rPr>
          <w:rFonts w:eastAsia="Times New Roman"/>
          <w:vanish/>
        </w:rPr>
        <w:t>mber2020-06-300001158172scor:SeriesB2WarrantMemberus-gaap:FairValueInputsLevel2Memberus-gaap:FairValueMeasurementsRecurringMember2020-06-300001158172us-gaap:FairValueInputsLevel3Memberscor:SeriesB2WarrantMemberus-gaap:FairValueMeasurementsRecurringMember20</w:t>
      </w:r>
      <w:r>
        <w:rPr>
          <w:rFonts w:eastAsia="Times New Roman"/>
          <w:vanish/>
        </w:rPr>
        <w:t>20-06-300001158172scor:SeriesB2WarrantMemberus-gaap:FairValueMeasurementsRecurringMember2020-06-300001158172us-gaap:FairValueInputsLevel1Memberscor:SeriesB2WarrantMemberus-gaap:FairValueMeasurementsRecurringMember2019-12-310001158172scor:SeriesB2WarrantMem</w:t>
      </w:r>
      <w:r>
        <w:rPr>
          <w:rFonts w:eastAsia="Times New Roman"/>
          <w:vanish/>
        </w:rPr>
        <w:t>berus-gaap:FairValueInputsLevel2Memberus-gaap:FairValueMeasurementsRecurringMember2019-12-310001158172us-gaap:FairValueInputsLevel3Memberscor:SeriesB2WarrantMemberus-gaap:FairValueMeasurementsRecurringMember2019-12-310001158172scor:SeriesB2WarrantMemberus-</w:t>
      </w:r>
      <w:r>
        <w:rPr>
          <w:rFonts w:eastAsia="Times New Roman"/>
          <w:vanish/>
        </w:rPr>
        <w:t>gaap:FairValueMeasurementsRecurringMember2019-12-310001158172us-gaap:FairValueInputsLevel1Member2020-06-300001158172us-gaap:DerivativeFinancialInstrumentsLiabilitiesMemberus-gaap:FairValueInputsLevel3Member2019-12-310001158172us-gaap:FairValueInputsLevel3M</w:t>
      </w:r>
      <w:r>
        <w:rPr>
          <w:rFonts w:eastAsia="Times New Roman"/>
          <w:vanish/>
        </w:rPr>
        <w:t>emberus-gaap:WarrantMember2019-12-310001158172us-gaap:DerivativeFinancialInstrumentsLiabilitiesMemberus-gaap:FairValueInputsLevel3Member2020-01-012020-06-300001158172us-gaap:FairValueInputsLevel3Memberus-gaap:WarrantMember2020-01-012020-06-300001158172us-g</w:t>
      </w:r>
      <w:r>
        <w:rPr>
          <w:rFonts w:eastAsia="Times New Roman"/>
          <w:vanish/>
        </w:rPr>
        <w:t>aap:DerivativeFinancialInstrumentsLiabilitiesMemberus-gaap:FairValueInputsLevel3Member2020-06-300001158172us-gaap:FairValueInputsLevel3Memberus-gaap:WarrantMember2020-06-300001158172us-gaap:InterestRateContractMemberus-gaap:FairValueInputsLevel3Member2020-</w:t>
      </w:r>
      <w:r>
        <w:rPr>
          <w:rFonts w:eastAsia="Times New Roman"/>
          <w:vanish/>
        </w:rPr>
        <w:t>01-012020-06-300001158172us-gaap:FairValueInputsLevel3Memberscor:ChangeinControlMember2020-01-012020-06-300001158172scor:SeriesAWarrantMemberus-gaap:FairValueInputsLevel3Memberus-gaap:WarrantMember2020-01-012020-06-300001158172us-gaap:FairValueInputsLevel3</w:t>
      </w:r>
      <w:r>
        <w:rPr>
          <w:rFonts w:eastAsia="Times New Roman"/>
          <w:vanish/>
        </w:rPr>
        <w:t>Memberscor:SeriesB2WarrantMemberus-gaap:WarrantMember2020-01-012020-06-300001158172us-gaap:DerivativeFinancialInstrumentsLiabilitiesMemberus-gaap:FairValueInputsLevel3Member2018-12-310001158172us-gaap:FairValueInputsLevel3Memberus-gaap:WarrantMember2018-12</w:t>
      </w:r>
      <w:r>
        <w:rPr>
          <w:rFonts w:eastAsia="Times New Roman"/>
          <w:vanish/>
        </w:rPr>
        <w:t>-310001158172us-gaap:DerivativeFinancialInstrumentsLiabilitiesMemberus-gaap:FairValueInputsLevel3Member2019-01-012019-06-300001158172us-gaap:FairValueInputsLevel3Memberus-gaap:WarrantMember2019-01-012019-06-300001158172us-gaap:DerivativeFinancialInstrument</w:t>
      </w:r>
      <w:r>
        <w:rPr>
          <w:rFonts w:eastAsia="Times New Roman"/>
          <w:vanish/>
        </w:rPr>
        <w:t>sLiabilitiesMemberus-gaap:FairValueInputsLevel3Member2019-06-300001158172us-gaap:FairValueInputsLevel3Memberus-gaap:WarrantMember2019-06-300001158172us-gaap:InterestRateContractMemberus-gaap:FairValueInputsLevel3Member2019-01-012019-06-300001158172scor:Mak</w:t>
      </w:r>
      <w:r>
        <w:rPr>
          <w:rFonts w:eastAsia="Times New Roman"/>
          <w:vanish/>
        </w:rPr>
        <w:t>eWholeChangeOfControlMemberus-gaap:FairValueInputsLevel3Member2019-01-012019-06-300001158172us-gaap:InterestRateContractMemberus-gaap:DerivativeMemberus-gaap:FairValueInputsLevel3Memberus-gaap:ValuationTechniqueDiscountedCashFlowMemberus-gaap:MeasurementIn</w:t>
      </w:r>
      <w:r>
        <w:rPr>
          <w:rFonts w:eastAsia="Times New Roman"/>
          <w:vanish/>
        </w:rPr>
        <w:t>putDiscountRateMember2020-06-300001158172us-gaap:InterestRateContractMemberus-gaap:DerivativeMemberus-gaap:FairValueInputsLevel3Memberus-gaap:ValuationTechniqueDiscountedCashFlowMemberus-gaap:MeasurementInputDiscountRateMember2019-12-310001158172us-gaap:In</w:t>
      </w:r>
      <w:r>
        <w:rPr>
          <w:rFonts w:eastAsia="Times New Roman"/>
          <w:vanish/>
        </w:rPr>
        <w:t>terestRateContractMemberus-gaap:DerivativeMemberus-gaap:FairValueInputsLevel3Memberus-gaap:ValuationTechniqueDiscountedCashFlowMember2020-06-300001158172us-gaap:InterestRateContractMemberus-gaap:DerivativeMemberus-gaap:FairValueInputsLevel3Memberus-gaap:Va</w:t>
      </w:r>
      <w:r>
        <w:rPr>
          <w:rFonts w:eastAsia="Times New Roman"/>
          <w:vanish/>
        </w:rPr>
        <w:t>luationTechniqueDiscountedCashFlowMember2019-12-310001158172us-gaap:InterestRateContractMemberus-gaap:DerivativeMemberus-gaap:FairValueInputsLevel3Memberus-gaap:ValuationTechniqueDiscountedCashFlowMemberus-gaap:MeasurementInputPriceVolatilityMember2020-06-</w:t>
      </w:r>
      <w:r>
        <w:rPr>
          <w:rFonts w:eastAsia="Times New Roman"/>
          <w:vanish/>
        </w:rPr>
        <w:t>300001158172us-gaap:InterestRateContractMemberus-gaap:DerivativeMemberus-gaap:FairValueInputsLevel3Memberus-gaap:ValuationTechniqueDiscountedCashFlowMemberus-gaap:MeasurementInputPriceVolatilityMember2019-12-31utr:Y0001158172us-gaap:InterestRateContractMem</w:t>
      </w:r>
      <w:r>
        <w:rPr>
          <w:rFonts w:eastAsia="Times New Roman"/>
          <w:vanish/>
        </w:rPr>
        <w:t>berus-gaap:DerivativeMemberus-gaap:FairValueInputsLevel3Memberus-gaap:ValuationTechniqueDiscountedCashFlowMemberus-gaap:MeasurementInputExpectedTermMember2020-06-300001158172us-gaap:InterestRateContractMemberus-gaap:DerivativeMemberus-gaap:FairValueInputsL</w:t>
      </w:r>
      <w:r>
        <w:rPr>
          <w:rFonts w:eastAsia="Times New Roman"/>
          <w:vanish/>
        </w:rPr>
        <w:t>evel3Memberus-gaap:ValuationTechniqueDiscountedCashFlowMemberus-gaap:MeasurementInputExpectedTermMember2019-12-310001158172us-gaap:InterestRateContractMemberus-gaap:MeasurementInputRiskFreeInterestRateMemberus-gaap:DerivativeMemberus-gaap:FairValueInputsLe</w:t>
      </w:r>
      <w:r>
        <w:rPr>
          <w:rFonts w:eastAsia="Times New Roman"/>
          <w:vanish/>
        </w:rPr>
        <w:t>vel3Memberus-gaap:ValuationTechniqueDiscountedCashFlowMember2020-06-300001158172us-gaap:InterestRateContractMemberus-gaap:MeasurementInputRiskFreeInterestRateMemberus-gaap:DerivativeMemberus-gaap:FairValueInputsLevel3Memberus-gaap:ValuationTechniqueDiscoun</w:t>
      </w:r>
      <w:r>
        <w:rPr>
          <w:rFonts w:eastAsia="Times New Roman"/>
          <w:vanish/>
        </w:rPr>
        <w:t>tedCashFlowMember2019-12-310001158172scor:MakeWholeChangeOfControlMemberscor:MeasurementInputChangeOfControlProbabilityRateMemberus-gaap:DerivativeMemberscor:OptionPricingModelValuationTechniqueMemberus-gaap:FairValueInputsLevel3Membersrt:MinimumMember2020</w:t>
      </w:r>
      <w:r>
        <w:rPr>
          <w:rFonts w:eastAsia="Times New Roman"/>
          <w:vanish/>
        </w:rPr>
        <w:t>-06-300001158172scor:MakeWholeChangeOfControlMemberscor:MeasurementInputChangeOfControlProbabilityRateMemberus-gaap:DerivativeMemberscor:OptionPricingModelValuationTechniqueMemberus-gaap:FairValueInputsLevel3Membersrt:MaximumMember2020-06-300001158172scor:</w:t>
      </w:r>
      <w:r>
        <w:rPr>
          <w:rFonts w:eastAsia="Times New Roman"/>
          <w:vanish/>
        </w:rPr>
        <w:t>MakeWholeChangeOfControlMemberscor:MeasurementInputChangeOfControlProbabilityRateMemberus-gaap:DerivativeMemberscor:OptionPricingModelValuationTechniqueMemberus-gaap:FairValueInputsLevel3Membersrt:MinimumMember2019-12-310001158172scor:MakeWholeChangeOfCont</w:t>
      </w:r>
      <w:r>
        <w:rPr>
          <w:rFonts w:eastAsia="Times New Roman"/>
          <w:vanish/>
        </w:rPr>
        <w:t>rolMemberscor:MeasurementInputChangeOfControlProbabilityRateMemberus-gaap:DerivativeMemberscor:OptionPricingModelValuationTechniqueMemberus-gaap:FairValueInputsLevel3Membersrt:MaximumMember2019-12-310001158172scor:MakeWholeChangeOfControlMemberus-gaap:Deri</w:t>
      </w:r>
      <w:r>
        <w:rPr>
          <w:rFonts w:eastAsia="Times New Roman"/>
          <w:vanish/>
        </w:rPr>
        <w:t>vativeMemberscor:OptionPricingModelValuationTechniqueMemberus-gaap:FairValueInputsLevel3Memberus-gaap:MeasurementInputExpectedTermMember2020-06-300001158172scor:MakeWholeChangeOfControlMemberus-gaap:DerivativeMemberscor:OptionPricingModelValuationTechnique</w:t>
      </w:r>
      <w:r>
        <w:rPr>
          <w:rFonts w:eastAsia="Times New Roman"/>
          <w:vanish/>
        </w:rPr>
        <w:t>Memberus-gaap:FairValueInputsLevel3Memberus-gaap:MeasurementInputExpectedTermMember2019-12-310001158172us-gaap:MeasurementInputRiskFreeInterestRateMemberscor:MakeWholeChangeOfControlMemberus-gaap:DerivativeMemberscor:OptionPricingModelValuationTechniqueMem</w:t>
      </w:r>
      <w:r>
        <w:rPr>
          <w:rFonts w:eastAsia="Times New Roman"/>
          <w:vanish/>
        </w:rPr>
        <w:t>berus-gaap:FairValueInputsLevel3Member2020-06-300001158172us-gaap:MeasurementInputRiskFreeInterestRateMemberscor:MakeWholeChangeOfControlMemberus-gaap:DerivativeMemberscor:OptionPricingModelValuationTechniqueMemberus-gaap:FairValueInputsLevel3Member2019-12</w:t>
      </w:r>
      <w:r>
        <w:rPr>
          <w:rFonts w:eastAsia="Times New Roman"/>
          <w:vanish/>
        </w:rPr>
        <w:t>-310001158172scor:MeasurementInputChangeOfControlProbabilityRateMemberus-gaap:DerivativeMemberus-gaap:FairValueInputsLevel3Memberus-gaap:ValuationTechniqueDiscountedCashFlowMemberscor:QualifyingChangeOfControlMember2020-06-300001158172scor:MeasurementInput</w:t>
      </w:r>
      <w:r>
        <w:rPr>
          <w:rFonts w:eastAsia="Times New Roman"/>
          <w:vanish/>
        </w:rPr>
        <w:t>ChangeOfControlProbabilityRateMemberus-gaap:DerivativeMemberus-gaap:FairValueInputsLevel3Memberus-gaap:ValuationTechniqueDiscountedCashFlowMemberscor:QualifyingChangeOfControlMember2019-12-310001158172us-gaap:DerivativeMemberus-gaap:FairValueInputsLevel3Me</w:t>
      </w:r>
      <w:r>
        <w:rPr>
          <w:rFonts w:eastAsia="Times New Roman"/>
          <w:vanish/>
        </w:rPr>
        <w:t>mberus-gaap:ValuationTechniqueDiscountedCashFlowMemberus-gaap:MeasurementInputExpectedTermMemberscor:QualifyingChangeOfControlMember2020-06-300001158172us-gaap:DerivativeMemberus-gaap:FairValueInputsLevel3Memberus-gaap:ValuationTechniqueDiscountedCashFlowM</w:t>
      </w:r>
      <w:r>
        <w:rPr>
          <w:rFonts w:eastAsia="Times New Roman"/>
          <w:vanish/>
        </w:rPr>
        <w:t>emberus-gaap:MeasurementInputExpectedTermMemberscor:QualifyingChangeOfControlMember2019-12-310001158172us-gaap:DerivativeMemberus-gaap:FairValueInputsLevel3Memberus-gaap:ValuationTechniqueDiscountedCashFlowMemberscor:QualifyingChangeOfControlMemberus-gaap:</w:t>
      </w:r>
      <w:r>
        <w:rPr>
          <w:rFonts w:eastAsia="Times New Roman"/>
          <w:vanish/>
        </w:rPr>
        <w:t>MeasurementInputDiscountRateMember2020-06-300001158172us-gaap:DerivativeMemberus-gaap:FairValueInputsLevel3Memberus-gaap:ValuationTechniqueDiscountedCashFlowMemberscor:QualifyingChangeOfControlMemberus-gaap:MeasurementInputDiscountRateMember2019-12-3100011</w:t>
      </w:r>
      <w:r>
        <w:rPr>
          <w:rFonts w:eastAsia="Times New Roman"/>
          <w:vanish/>
        </w:rPr>
        <w:t>58172scor:OptionPricingModelValuationTechniqueMemberus-gaap:FairValueInputsLevel3Memberus-gaap:WarrantMember2020-06-300001158172scor:OptionPricingModelValuationTechniqueMemberus-gaap:FairValueInputsLevel3Memberus-gaap:WarrantMember2019-12-310001158172scor:</w:t>
      </w:r>
      <w:r>
        <w:rPr>
          <w:rFonts w:eastAsia="Times New Roman"/>
          <w:vanish/>
        </w:rPr>
        <w:t>OptionPricingModelValuationTechniqueMemberus-gaap:FairValueInputsLevel3Memberus-gaap:WarrantMemberus-gaap:MeasurementInputPriceVolatilityMember2020-06-300001158172scor:OptionPricingModelValuationTechniqueMemberus-gaap:FairValueInputsLevel3Memberus-gaap:War</w:t>
      </w:r>
      <w:r>
        <w:rPr>
          <w:rFonts w:eastAsia="Times New Roman"/>
          <w:vanish/>
        </w:rPr>
        <w:t>rantMemberus-gaap:MeasurementInputPriceVolatilityMember2019-12-310001158172scor:OptionPricingModelValuationTechniqueMemberus-gaap:FairValueInputsLevel3Memberus-gaap:WarrantMemberus-gaap:MeasurementInputExpectedTermMember2020-06-300001158172scor:OptionPrici</w:t>
      </w:r>
      <w:r>
        <w:rPr>
          <w:rFonts w:eastAsia="Times New Roman"/>
          <w:vanish/>
        </w:rPr>
        <w:t>ngModelValuationTechniqueMemberus-gaap:FairValueInputsLevel3Memberus-gaap:WarrantMemberus-gaap:MeasurementInputExpectedTermMembersrt:MinimumMember2019-12-310001158172scor:OptionPricingModelValuationTechniqueMemberus-gaap:FairValueInputsLevel3Memberus-gaap:</w:t>
      </w:r>
      <w:r>
        <w:rPr>
          <w:rFonts w:eastAsia="Times New Roman"/>
          <w:vanish/>
        </w:rPr>
        <w:t>WarrantMembersrt:MaximumMemberus-gaap:MeasurementInputExpectedTermMember2019-12-310001158172scor:MeasurementInputChangeOfControlProbabilityRateMemberscor:OptionPricingModelValuationTechniqueMemberus-gaap:FairValueInputsLevel3Memberus-gaap:WarrantMembersrt:</w:t>
      </w:r>
      <w:r>
        <w:rPr>
          <w:rFonts w:eastAsia="Times New Roman"/>
          <w:vanish/>
        </w:rPr>
        <w:t>MinimumMember2020-06-300001158172scor:MeasurementInputChangeOfControlProbabilityRateMemberscor:OptionPricingModelValuationTechniqueMemberus-gaap:FairValueInputsLevel3Memberus-gaap:WarrantMembersrt:MaximumMember2020-06-300001158172scor:MeasurementInputChang</w:t>
      </w:r>
      <w:r>
        <w:rPr>
          <w:rFonts w:eastAsia="Times New Roman"/>
          <w:vanish/>
        </w:rPr>
        <w:t>eOfControlProbabilityRateMemberscor:OptionPricingModelValuationTechniqueMemberus-gaap:FairValueInputsLevel3Memberus-gaap:WarrantMembersrt:MinimumMember2019-12-310001158172scor:MeasurementInputChangeOfControlProbabilityRateMemberscor:OptionPricingModelValua</w:t>
      </w:r>
      <w:r>
        <w:rPr>
          <w:rFonts w:eastAsia="Times New Roman"/>
          <w:vanish/>
        </w:rPr>
        <w:t>tionTechniqueMemberus-gaap:FairValueInputsLevel3Memberus-gaap:WarrantMembersrt:MaximumMember2019-12-310001158172us-gaap:MeasurementInputRiskFreeInterestRateMemberscor:OptionPricingModelValuationTechniqueMemberus-gaap:FairValueInputsLevel3Memberus-gaap:Warr</w:t>
      </w:r>
      <w:r>
        <w:rPr>
          <w:rFonts w:eastAsia="Times New Roman"/>
          <w:vanish/>
        </w:rPr>
        <w:t>antMember2020-06-300001158172us-gaap:MeasurementInputRiskFreeInterestRateMemberscor:OptionPricingModelValuationTechniqueMemberus-gaap:FairValueInputsLevel3Memberus-gaap:WarrantMembersrt:MinimumMember2019-12-310001158172us-gaap:MeasurementInputRiskFreeInter</w:t>
      </w:r>
      <w:r>
        <w:rPr>
          <w:rFonts w:eastAsia="Times New Roman"/>
          <w:vanish/>
        </w:rPr>
        <w:t>estRateMemberscor:OptionPricingModelValuationTechniqueMemberus-gaap:FairValueInputsLevel3Memberus-gaap:WarrantMembersrt:MaximumMember2019-12-310001158172scor:MeasurementInputCostOfDebtMemberscor:OptionPricingModelValuationTechniqueMemberus-gaap:FairValueIn</w:t>
      </w:r>
      <w:r>
        <w:rPr>
          <w:rFonts w:eastAsia="Times New Roman"/>
          <w:vanish/>
        </w:rPr>
        <w:t>putsLevel3Memberus-gaap:WarrantMembersrt:MinimumMember2020-06-300001158172scor:MeasurementInputCostOfDebtMemberscor:OptionPricingModelValuationTechniqueMemberus-gaap:FairValueInputsLevel3Memberus-gaap:WarrantMembersrt:MaximumMember2020-06-300001158172scor:</w:t>
      </w:r>
      <w:r>
        <w:rPr>
          <w:rFonts w:eastAsia="Times New Roman"/>
          <w:vanish/>
        </w:rPr>
        <w:t>MeasurementInputCostOfDebtMemberscor:OptionPricingModelValuationTechniqueMemberus-gaap:FairValueInputsLevel3Memberus-gaap:WarrantMembersrt:MinimumMember2019-12-310001158172scor:MeasurementInputCostOfDebtMemberscor:OptionPricingModelValuationTechniqueMember</w:t>
      </w:r>
      <w:r>
        <w:rPr>
          <w:rFonts w:eastAsia="Times New Roman"/>
          <w:vanish/>
        </w:rPr>
        <w:t>us-gaap:FairValueInputsLevel3Memberus-gaap:WarrantMembersrt:MaximumMember2019-12-310001158172us-gaap:InvestorMemberscor:WPPplcMember2020-06-300001158172us-gaap:InvestorMemberscor:WPPplcMember2020-01-012020-06-300001158172scor:LightspeedMembersrt:Affiliated</w:t>
      </w:r>
      <w:r>
        <w:rPr>
          <w:rFonts w:eastAsia="Times New Roman"/>
          <w:vanish/>
        </w:rPr>
        <w:t>EntityMember2020-01-012020-06-300001158172scor:LightspeedMembersrt:AffiliatedEntityMember2020-06-300001158172us-gaap:InvestorMemberscor:WPPplcMember2020-04-012020-06-300001158172us-gaap:InvestorMemberscor:WPPplcMember2019-04-012019-06-300001158172us-gaap:I</w:t>
      </w:r>
      <w:r>
        <w:rPr>
          <w:rFonts w:eastAsia="Times New Roman"/>
          <w:vanish/>
        </w:rPr>
        <w:t>nvestorMemberscor:WPPplcMember2019-01-012019-06-300001158172us-gaap:InvestorMemberus-gaap:CostOfSalesMemberscor:WPPplcMember2020-04-012020-06-300001158172us-gaap:InvestorMemberus-gaap:CostOfSalesMemberscor:WPPplcMember2019-04-012019-06-300001158172us-gaap:</w:t>
      </w:r>
      <w:r>
        <w:rPr>
          <w:rFonts w:eastAsia="Times New Roman"/>
          <w:vanish/>
        </w:rPr>
        <w:t>InvestorMemberus-gaap:CostOfSalesMemberscor:WPPplcMember2020-01-012020-06-300001158172us-gaap:InvestorMemberus-gaap:CostOfSalesMemberscor:WPPplcMember2019-01-012019-06-300001158172us-gaap:InvestorMemberscor:WPPplcMemberus-gaap:GeneralAndAdministrativeExpen</w:t>
      </w:r>
      <w:r>
        <w:rPr>
          <w:rFonts w:eastAsia="Times New Roman"/>
          <w:vanish/>
        </w:rPr>
        <w:t>seMember2020-04-012020-06-300001158172us-gaap:InvestorMemberscor:WPPplcMemberus-gaap:GeneralAndAdministrativeExpenseMember2019-04-012019-06-300001158172us-gaap:InvestorMemberscor:WPPplcMemberus-gaap:GeneralAndAdministrativeExpenseMember2020-01-012020-06-30</w:t>
      </w:r>
      <w:r>
        <w:rPr>
          <w:rFonts w:eastAsia="Times New Roman"/>
          <w:vanish/>
        </w:rPr>
        <w:t>0001158172us-gaap:InvestorMemberscor:WPPplcMemberus-gaap:GeneralAndAdministrativeExpenseMember2019-01-012019-06-300001158172us-gaap:InvestorMemberscor:WPPplcMember2019-12-310001158172scor:StarboardValueLPMemberus-gaap:BeneficialOwnerMember2018-01-162018-01</w:t>
      </w:r>
      <w:r>
        <w:rPr>
          <w:rFonts w:eastAsia="Times New Roman"/>
          <w:vanish/>
        </w:rPr>
        <w:t>-160001158172us-gaap:InvestorMemberscor:StarboardValueLPMember2020-04-012020-06-300001158172us-gaap:InvestorMemberscor:StarboardValueLPMember2020-01-012020-06-300001158172us-gaap:InvestorMemberscor:StarboardValueLPMember2019-04-012019-06-300001158172us-gaa</w:t>
      </w:r>
      <w:r>
        <w:rPr>
          <w:rFonts w:eastAsia="Times New Roman"/>
          <w:vanish/>
        </w:rPr>
        <w:t>p:InvestorMemberscor:StarboardValueLPMember2019-01-012019-06-300001158172us-gaap:InvestorMemberscor:StarboardValueLPMember2020-06-300001158172us-gaap:InvestorMemberscor:StarboardValueLPMember2019-12-310001158172us-gaap:SettledLitigationMemberscor:PrivacyCl</w:t>
      </w:r>
      <w:r>
        <w:rPr>
          <w:rFonts w:eastAsia="Times New Roman"/>
          <w:vanish/>
        </w:rPr>
        <w:t>assActionLitigationMember2020-02-262020-02-26scor:restructuring_plans00011581722019-05-012019-08-310001158172scor:May2019RestructuringPlanMember2019-12-310001158172scor:August2019RestructuringPlanMember2019-12-310001158172scor:May2019RestructuringPlanMembe</w:t>
      </w:r>
      <w:r>
        <w:rPr>
          <w:rFonts w:eastAsia="Times New Roman"/>
          <w:vanish/>
        </w:rPr>
        <w:t>r2020-01-012020-06-300001158172scor:August2019RestructuringPlanMember2020-01-012020-06-300001158172scor:May2019RestructuringPlanMember2020-06-300001158172scor:August2019RestructuringPlanMember2020-06-30</w:t>
      </w:r>
    </w:p>
    <w:p w:rsidR="00000000" w:rsidRDefault="007258AD">
      <w:pPr>
        <w:jc w:val="both"/>
        <w:divId w:val="1878932689"/>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878932689"/>
        <w:rPr>
          <w:rFonts w:eastAsia="Times New Roman"/>
        </w:rPr>
      </w:pPr>
    </w:p>
    <w:tbl>
      <w:tblPr>
        <w:tblW w:w="4618" w:type="pct"/>
        <w:jc w:val="center"/>
        <w:tblCellMar>
          <w:top w:w="15" w:type="dxa"/>
          <w:left w:w="15" w:type="dxa"/>
          <w:bottom w:w="15" w:type="dxa"/>
          <w:right w:w="15" w:type="dxa"/>
        </w:tblCellMar>
        <w:tblLook w:val="04A0" w:firstRow="1" w:lastRow="0" w:firstColumn="1" w:lastColumn="0" w:noHBand="0" w:noVBand="1"/>
      </w:tblPr>
      <w:tblGrid>
        <w:gridCol w:w="76"/>
        <w:gridCol w:w="1356"/>
        <w:gridCol w:w="75"/>
        <w:gridCol w:w="75"/>
        <w:gridCol w:w="1355"/>
        <w:gridCol w:w="75"/>
        <w:gridCol w:w="75"/>
        <w:gridCol w:w="1355"/>
        <w:gridCol w:w="75"/>
        <w:gridCol w:w="75"/>
        <w:gridCol w:w="1355"/>
        <w:gridCol w:w="75"/>
        <w:gridCol w:w="75"/>
        <w:gridCol w:w="1355"/>
        <w:gridCol w:w="75"/>
        <w:gridCol w:w="36"/>
        <w:gridCol w:w="36"/>
        <w:gridCol w:w="36"/>
        <w:gridCol w:w="36"/>
      </w:tblGrid>
      <w:tr w:rsidR="00000000">
        <w:trPr>
          <w:gridAfter w:val="4"/>
          <w:divId w:val="121121559"/>
          <w:jc w:val="center"/>
        </w:trPr>
        <w:tc>
          <w:tcPr>
            <w:tcW w:w="50" w:type="pct"/>
            <w:vAlign w:val="center"/>
            <w:hideMark/>
          </w:tcPr>
          <w:p w:rsidR="00000000" w:rsidRDefault="007258AD">
            <w:pPr>
              <w:jc w:val="both"/>
              <w:rPr>
                <w:rFonts w:eastAsia="Times New Roman"/>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21121559"/>
          <w:trHeight w:val="60"/>
          <w:jc w:val="center"/>
        </w:trPr>
        <w:tc>
          <w:tcPr>
            <w:tcW w:w="0" w:type="auto"/>
            <w:gridSpan w:val="15"/>
            <w:tcBorders>
              <w:top w:val="single" w:sz="8" w:space="0" w:color="000000"/>
              <w:bottom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divId w:val="575749708"/>
        <w:rPr>
          <w:rFonts w:eastAsia="Times New Roman"/>
        </w:rPr>
      </w:pPr>
      <w:r>
        <w:rPr>
          <w:rFonts w:eastAsia="Times New Roman"/>
          <w:b/>
          <w:bCs/>
          <w:color w:val="000000"/>
          <w:sz w:val="32"/>
          <w:szCs w:val="32"/>
        </w:rPr>
        <w:t>UNITED STATES SECURITIES AND EXCHANGE COMMISSIO</w:t>
      </w:r>
      <w:r>
        <w:rPr>
          <w:rFonts w:eastAsia="Times New Roman"/>
          <w:b/>
          <w:bCs/>
          <w:color w:val="000000"/>
          <w:sz w:val="32"/>
          <w:szCs w:val="32"/>
        </w:rPr>
        <w:t>N</w:t>
      </w:r>
    </w:p>
    <w:p w:rsidR="00000000" w:rsidRDefault="007258AD">
      <w:pPr>
        <w:jc w:val="center"/>
        <w:rPr>
          <w:rFonts w:eastAsia="Times New Roman"/>
        </w:rPr>
      </w:pPr>
      <w:r>
        <w:rPr>
          <w:rFonts w:eastAsia="Times New Roman"/>
          <w:b/>
          <w:bCs/>
          <w:color w:val="000000"/>
        </w:rPr>
        <w:t>Washington, D.C. 2054</w:t>
      </w:r>
      <w:r>
        <w:rPr>
          <w:rFonts w:eastAsia="Times New Roman"/>
          <w:b/>
          <w:bCs/>
          <w:color w:val="000000"/>
        </w:rPr>
        <w:t>9</w:t>
      </w:r>
    </w:p>
    <w:p w:rsidR="00000000" w:rsidRDefault="007258AD">
      <w:pPr>
        <w:jc w:val="center"/>
        <w:divId w:val="259796529"/>
        <w:rPr>
          <w:rFonts w:eastAsia="Times New Roman"/>
        </w:rPr>
      </w:pPr>
      <w:r>
        <w:rPr>
          <w:rFonts w:eastAsia="Times New Roman"/>
          <w:color w:val="000000"/>
          <w:sz w:val="20"/>
          <w:szCs w:val="20"/>
        </w:rPr>
        <w:t>________________________________________</w:t>
      </w:r>
      <w:r>
        <w:rPr>
          <w:rFonts w:eastAsia="Times New Roman"/>
          <w:color w:val="000000"/>
          <w:sz w:val="20"/>
          <w:szCs w:val="20"/>
        </w:rPr>
        <w:t> </w:t>
      </w:r>
    </w:p>
    <w:p w:rsidR="00000000" w:rsidRDefault="007258AD">
      <w:pPr>
        <w:jc w:val="center"/>
        <w:divId w:val="849880493"/>
        <w:rPr>
          <w:rFonts w:eastAsia="Times New Roman"/>
        </w:rPr>
      </w:pPr>
      <w:r>
        <w:rPr>
          <w:rFonts w:eastAsia="Times New Roman"/>
          <w:b/>
          <w:bCs/>
          <w:color w:val="000000"/>
          <w:sz w:val="32"/>
          <w:szCs w:val="32"/>
        </w:rPr>
        <w:t>FORM 10-Q</w:t>
      </w:r>
      <w:r>
        <w:rPr>
          <w:rFonts w:eastAsia="Times New Roman"/>
          <w:b/>
          <w:bCs/>
          <w:color w:val="000000"/>
          <w:sz w:val="32"/>
          <w:szCs w:val="32"/>
        </w:rPr>
        <w:t xml:space="preserve"> </w:t>
      </w:r>
    </w:p>
    <w:p w:rsidR="00000000" w:rsidRDefault="007258AD">
      <w:pPr>
        <w:jc w:val="center"/>
        <w:divId w:val="1814903639"/>
        <w:rPr>
          <w:rFonts w:eastAsia="Times New Roman"/>
        </w:rPr>
      </w:pPr>
      <w:r>
        <w:rPr>
          <w:rFonts w:eastAsia="Times New Roman"/>
          <w:color w:val="000000"/>
          <w:sz w:val="20"/>
          <w:szCs w:val="20"/>
        </w:rPr>
        <w:t>_____________________________________</w:t>
      </w:r>
      <w:r>
        <w:rPr>
          <w:rFonts w:eastAsia="Times New Roman"/>
          <w:color w:val="000000"/>
          <w:sz w:val="20"/>
          <w:szCs w:val="20"/>
        </w:rPr>
        <w:t>_</w:t>
      </w:r>
    </w:p>
    <w:p w:rsidR="00000000" w:rsidRDefault="007258AD">
      <w:pPr>
        <w:divId w:val="231700304"/>
        <w:rPr>
          <w:rFonts w:eastAsia="Times New Roman"/>
        </w:rPr>
      </w:pPr>
      <w:r>
        <w:rPr>
          <w:rFonts w:eastAsia="Times New Roman"/>
          <w:color w:val="000000"/>
          <w:sz w:val="20"/>
          <w:szCs w:val="20"/>
        </w:rPr>
        <w:t> </w:t>
      </w:r>
      <w:r>
        <w:rPr>
          <w:rFonts w:eastAsia="Times New Roman"/>
          <w:b/>
          <w:bCs/>
          <w:color w:val="000000"/>
          <w:sz w:val="16"/>
          <w:szCs w:val="16"/>
        </w:rPr>
        <w:t>(Mark One</w:t>
      </w:r>
      <w:r>
        <w:rPr>
          <w:rFonts w:eastAsia="Times New Roman"/>
          <w:b/>
          <w:bCs/>
          <w:color w:val="000000"/>
          <w:sz w:val="16"/>
          <w:szCs w:val="16"/>
        </w:rPr>
        <w:t>)</w:t>
      </w:r>
    </w:p>
    <w:tbl>
      <w:tblPr>
        <w:tblW w:w="4743" w:type="pct"/>
        <w:tblCellMar>
          <w:top w:w="15" w:type="dxa"/>
          <w:left w:w="15" w:type="dxa"/>
          <w:bottom w:w="15" w:type="dxa"/>
          <w:right w:w="15" w:type="dxa"/>
        </w:tblCellMar>
        <w:tblLook w:val="04A0" w:firstRow="1" w:lastRow="0" w:firstColumn="1" w:lastColumn="0" w:noHBand="0" w:noVBand="1"/>
      </w:tblPr>
      <w:tblGrid>
        <w:gridCol w:w="78"/>
        <w:gridCol w:w="303"/>
        <w:gridCol w:w="79"/>
        <w:gridCol w:w="79"/>
        <w:gridCol w:w="7261"/>
        <w:gridCol w:w="79"/>
      </w:tblGrid>
      <w:tr w:rsidR="00000000">
        <w:trPr>
          <w:divId w:val="1339577355"/>
        </w:trPr>
        <w:tc>
          <w:tcPr>
            <w:tcW w:w="50" w:type="pct"/>
            <w:vAlign w:val="center"/>
            <w:hideMark/>
          </w:tcPr>
          <w:p w:rsidR="00000000" w:rsidRDefault="007258AD">
            <w:pPr>
              <w:rPr>
                <w:rFonts w:eastAsia="Times New Roman"/>
              </w:rPr>
            </w:pPr>
          </w:p>
        </w:tc>
        <w:tc>
          <w:tcPr>
            <w:tcW w:w="192"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60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339577355"/>
        </w:trPr>
        <w:tc>
          <w:tcPr>
            <w:tcW w:w="0" w:type="auto"/>
            <w:gridSpan w:val="3"/>
            <w:tcMar>
              <w:top w:w="30" w:type="dxa"/>
              <w:left w:w="20" w:type="dxa"/>
              <w:bottom w:w="30" w:type="dxa"/>
              <w:right w:w="20" w:type="dxa"/>
            </w:tcMar>
            <w:hideMark/>
          </w:tcPr>
          <w:p w:rsidR="00000000" w:rsidRDefault="007258AD">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QUARTERLY REPORT PURSUANT TO SECTION 13 OR 15(d) OF THE SECURITIES EXCHANGE ACT OF 193</w:t>
            </w:r>
            <w:r>
              <w:rPr>
                <w:rFonts w:eastAsia="Times New Roman"/>
                <w:b/>
                <w:bCs/>
                <w:color w:val="000000"/>
                <w:sz w:val="20"/>
                <w:szCs w:val="20"/>
              </w:rPr>
              <w:t>4</w:t>
            </w:r>
          </w:p>
        </w:tc>
      </w:tr>
    </w:tbl>
    <w:p w:rsidR="00000000" w:rsidRDefault="007258AD">
      <w:pPr>
        <w:ind w:firstLine="495"/>
        <w:jc w:val="center"/>
        <w:divId w:val="1360932903"/>
        <w:rPr>
          <w:rFonts w:eastAsia="Times New Roman"/>
        </w:rPr>
      </w:pPr>
      <w:r>
        <w:rPr>
          <w:rFonts w:eastAsia="Times New Roman"/>
          <w:b/>
          <w:bCs/>
          <w:color w:val="000000"/>
          <w:sz w:val="20"/>
          <w:szCs w:val="20"/>
        </w:rPr>
        <w:t>For the quarterly period ended June 30, 2020</w:t>
      </w:r>
      <w:r>
        <w:rPr>
          <w:rFonts w:eastAsia="Times New Roman"/>
          <w:b/>
          <w:bCs/>
          <w:color w:val="000000"/>
          <w:sz w:val="20"/>
          <w:szCs w:val="20"/>
        </w:rPr>
        <w:t xml:space="preserve"> </w:t>
      </w:r>
    </w:p>
    <w:p w:rsidR="00000000" w:rsidRDefault="007258AD">
      <w:pPr>
        <w:jc w:val="center"/>
        <w:divId w:val="1782719104"/>
        <w:rPr>
          <w:rFonts w:eastAsia="Times New Roman"/>
        </w:rPr>
      </w:pPr>
      <w:r>
        <w:rPr>
          <w:rFonts w:eastAsia="Times New Roman"/>
          <w:b/>
          <w:bCs/>
          <w:color w:val="000000"/>
          <w:sz w:val="20"/>
          <w:szCs w:val="20"/>
        </w:rPr>
        <w:t>o</w:t>
      </w:r>
      <w:r>
        <w:rPr>
          <w:rFonts w:eastAsia="Times New Roman"/>
          <w:b/>
          <w:bCs/>
          <w:color w:val="000000"/>
          <w:sz w:val="20"/>
          <w:szCs w:val="20"/>
        </w:rPr>
        <w:t>r</w:t>
      </w:r>
    </w:p>
    <w:tbl>
      <w:tblPr>
        <w:tblW w:w="4743" w:type="pct"/>
        <w:tblCellMar>
          <w:top w:w="15" w:type="dxa"/>
          <w:left w:w="15" w:type="dxa"/>
          <w:bottom w:w="15" w:type="dxa"/>
          <w:right w:w="15" w:type="dxa"/>
        </w:tblCellMar>
        <w:tblLook w:val="04A0" w:firstRow="1" w:lastRow="0" w:firstColumn="1" w:lastColumn="0" w:noHBand="0" w:noVBand="1"/>
      </w:tblPr>
      <w:tblGrid>
        <w:gridCol w:w="78"/>
        <w:gridCol w:w="303"/>
        <w:gridCol w:w="79"/>
        <w:gridCol w:w="79"/>
        <w:gridCol w:w="7261"/>
        <w:gridCol w:w="79"/>
      </w:tblGrid>
      <w:tr w:rsidR="00000000">
        <w:trPr>
          <w:divId w:val="209273319"/>
        </w:trPr>
        <w:tc>
          <w:tcPr>
            <w:tcW w:w="50" w:type="pct"/>
            <w:vAlign w:val="center"/>
            <w:hideMark/>
          </w:tcPr>
          <w:p w:rsidR="00000000" w:rsidRDefault="007258AD">
            <w:pPr>
              <w:jc w:val="center"/>
              <w:rPr>
                <w:rFonts w:eastAsia="Times New Roman"/>
              </w:rPr>
            </w:pPr>
          </w:p>
        </w:tc>
        <w:tc>
          <w:tcPr>
            <w:tcW w:w="192"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60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09273319"/>
        </w:trPr>
        <w:tc>
          <w:tcPr>
            <w:tcW w:w="0" w:type="auto"/>
            <w:gridSpan w:val="3"/>
            <w:tcMar>
              <w:top w:w="30" w:type="dxa"/>
              <w:left w:w="20" w:type="dxa"/>
              <w:bottom w:w="30" w:type="dxa"/>
              <w:right w:w="20" w:type="dxa"/>
            </w:tcMar>
            <w:hideMark/>
          </w:tcPr>
          <w:p w:rsidR="00000000" w:rsidRDefault="007258AD">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TRANSITION REPORT PURSUANT TO SECTION 13 OR 15(d) OF THE SECURITIES EXCHANGE ACT OF 193</w:t>
            </w:r>
            <w:r>
              <w:rPr>
                <w:rFonts w:eastAsia="Times New Roman"/>
                <w:b/>
                <w:bCs/>
                <w:color w:val="000000"/>
                <w:sz w:val="20"/>
                <w:szCs w:val="20"/>
              </w:rPr>
              <w:t>4</w:t>
            </w:r>
          </w:p>
        </w:tc>
      </w:tr>
    </w:tbl>
    <w:p w:rsidR="00000000" w:rsidRDefault="007258AD">
      <w:pPr>
        <w:jc w:val="center"/>
        <w:divId w:val="1274902628"/>
        <w:rPr>
          <w:rFonts w:eastAsia="Times New Roman"/>
        </w:rPr>
      </w:pPr>
      <w:r>
        <w:rPr>
          <w:rFonts w:eastAsia="Times New Roman"/>
          <w:b/>
          <w:bCs/>
          <w:color w:val="000000"/>
          <w:sz w:val="20"/>
          <w:szCs w:val="20"/>
        </w:rPr>
        <w:t>For the transition period from          to        </w:t>
      </w:r>
      <w:r>
        <w:rPr>
          <w:rFonts w:eastAsia="Times New Roman"/>
          <w:b/>
          <w:bCs/>
          <w:color w:val="000000"/>
          <w:sz w:val="20"/>
          <w:szCs w:val="20"/>
        </w:rPr>
        <w:t> </w:t>
      </w:r>
    </w:p>
    <w:p w:rsidR="00000000" w:rsidRDefault="007258AD">
      <w:pPr>
        <w:jc w:val="center"/>
        <w:divId w:val="1146894708"/>
        <w:rPr>
          <w:rFonts w:eastAsia="Times New Roman"/>
        </w:rPr>
      </w:pPr>
      <w:r>
        <w:rPr>
          <w:rFonts w:eastAsia="Times New Roman"/>
          <w:b/>
          <w:bCs/>
          <w:color w:val="000000"/>
          <w:sz w:val="20"/>
          <w:szCs w:val="20"/>
        </w:rPr>
        <w:t>Commission file number: 001-33520</w:t>
      </w:r>
      <w:r>
        <w:rPr>
          <w:rFonts w:eastAsia="Times New Roman"/>
          <w:b/>
          <w:bCs/>
          <w:color w:val="000000"/>
          <w:sz w:val="20"/>
          <w:szCs w:val="20"/>
        </w:rPr>
        <w:t xml:space="preserve"> </w:t>
      </w:r>
    </w:p>
    <w:p w:rsidR="00000000" w:rsidRDefault="007258AD">
      <w:pPr>
        <w:jc w:val="center"/>
        <w:divId w:val="799423084"/>
        <w:rPr>
          <w:rFonts w:eastAsia="Times New Roman"/>
        </w:rPr>
      </w:pPr>
      <w:r>
        <w:rPr>
          <w:rFonts w:eastAsia="Times New Roman"/>
          <w:color w:val="000000"/>
          <w:sz w:val="18"/>
          <w:szCs w:val="18"/>
        </w:rPr>
        <w:t> </w:t>
      </w:r>
      <w:r>
        <w:rPr>
          <w:rFonts w:eastAsia="Times New Roman"/>
          <w:color w:val="000000"/>
          <w:sz w:val="20"/>
          <w:szCs w:val="20"/>
        </w:rPr>
        <w:t>________________________________</w:t>
      </w:r>
      <w:r>
        <w:rPr>
          <w:rFonts w:eastAsia="Times New Roman"/>
          <w:color w:val="000000"/>
          <w:sz w:val="20"/>
          <w:szCs w:val="20"/>
        </w:rPr>
        <w:t> </w:t>
      </w:r>
    </w:p>
    <w:p w:rsidR="00000000" w:rsidRDefault="007258AD">
      <w:pPr>
        <w:jc w:val="center"/>
        <w:rPr>
          <w:rFonts w:eastAsia="Times New Roman"/>
        </w:rPr>
      </w:pPr>
      <w:r>
        <w:rPr>
          <w:rFonts w:eastAsia="Times New Roman"/>
          <w:color w:val="000000"/>
          <w:sz w:val="48"/>
          <w:szCs w:val="48"/>
        </w:rPr>
        <w:t> </w:t>
      </w:r>
      <w:r>
        <w:rPr>
          <w:rFonts w:eastAsia="Times New Roman"/>
          <w:b/>
          <w:bCs/>
          <w:color w:val="000000"/>
          <w:sz w:val="48"/>
          <w:szCs w:val="48"/>
        </w:rPr>
        <w:t>comScore, Inc.</w:t>
      </w:r>
      <w:r>
        <w:rPr>
          <w:rFonts w:eastAsia="Times New Roman"/>
          <w:b/>
          <w:bCs/>
          <w:color w:val="000000"/>
          <w:sz w:val="48"/>
          <w:szCs w:val="48"/>
        </w:rPr>
        <w:t xml:space="preserve"> </w:t>
      </w:r>
    </w:p>
    <w:p w:rsidR="00000000" w:rsidRDefault="007258AD">
      <w:pPr>
        <w:jc w:val="center"/>
        <w:rPr>
          <w:rFonts w:eastAsia="Times New Roman"/>
        </w:rPr>
      </w:pPr>
      <w:r>
        <w:rPr>
          <w:rFonts w:eastAsia="Times New Roman"/>
          <w:b/>
          <w:bCs/>
          <w:color w:val="000000"/>
          <w:sz w:val="20"/>
          <w:szCs w:val="20"/>
        </w:rPr>
        <w:t>(Exact name of registrant as specified in its charter</w:t>
      </w:r>
      <w:r>
        <w:rPr>
          <w:rFonts w:eastAsia="Times New Roman"/>
          <w:b/>
          <w:bCs/>
          <w:color w:val="000000"/>
          <w:sz w:val="20"/>
          <w:szCs w:val="20"/>
        </w:rPr>
        <w:t>)</w:t>
      </w:r>
    </w:p>
    <w:p w:rsidR="00000000" w:rsidRDefault="007258AD">
      <w:pPr>
        <w:jc w:val="center"/>
        <w:rPr>
          <w:rFonts w:eastAsia="Times New Roman"/>
        </w:rPr>
      </w:pPr>
      <w:r>
        <w:rPr>
          <w:rFonts w:eastAsia="Times New Roman"/>
          <w:color w:val="000000"/>
          <w:sz w:val="20"/>
          <w:szCs w:val="20"/>
        </w:rPr>
        <w:t> ________________________________</w:t>
      </w:r>
      <w:r>
        <w:rPr>
          <w:rFonts w:eastAsia="Times New Roman"/>
          <w:color w:val="000000"/>
          <w:sz w:val="20"/>
          <w:szCs w:val="20"/>
        </w:rPr>
        <w:t> </w:t>
      </w:r>
    </w:p>
    <w:tbl>
      <w:tblPr>
        <w:tblW w:w="4715" w:type="pct"/>
        <w:tblCellMar>
          <w:top w:w="15" w:type="dxa"/>
          <w:left w:w="15" w:type="dxa"/>
          <w:bottom w:w="15" w:type="dxa"/>
          <w:right w:w="15" w:type="dxa"/>
        </w:tblCellMar>
        <w:tblLook w:val="04A0" w:firstRow="1" w:lastRow="0" w:firstColumn="1" w:lastColumn="0" w:noHBand="0" w:noVBand="1"/>
      </w:tblPr>
      <w:tblGrid>
        <w:gridCol w:w="70"/>
        <w:gridCol w:w="3722"/>
        <w:gridCol w:w="70"/>
        <w:gridCol w:w="36"/>
        <w:gridCol w:w="172"/>
        <w:gridCol w:w="36"/>
        <w:gridCol w:w="71"/>
        <w:gridCol w:w="3585"/>
        <w:gridCol w:w="71"/>
      </w:tblGrid>
      <w:tr w:rsidR="00000000">
        <w:trPr>
          <w:divId w:val="1421949158"/>
        </w:trPr>
        <w:tc>
          <w:tcPr>
            <w:tcW w:w="50" w:type="pct"/>
            <w:vAlign w:val="center"/>
            <w:hideMark/>
          </w:tcPr>
          <w:p w:rsidR="00000000" w:rsidRDefault="007258AD">
            <w:pPr>
              <w:jc w:val="center"/>
              <w:rPr>
                <w:rFonts w:eastAsia="Times New Roman"/>
              </w:rPr>
            </w:pPr>
          </w:p>
        </w:tc>
        <w:tc>
          <w:tcPr>
            <w:tcW w:w="238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15"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2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421949158"/>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20"/>
                <w:szCs w:val="20"/>
              </w:rPr>
              <w:t>Delawar</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20"/>
                <w:szCs w:val="20"/>
              </w:rPr>
              <w:t>54-195555</w:t>
            </w:r>
            <w:r>
              <w:rPr>
                <w:rFonts w:eastAsia="Times New Roman"/>
                <w:color w:val="000000"/>
                <w:sz w:val="20"/>
                <w:szCs w:val="20"/>
              </w:rPr>
              <w:t>0</w:t>
            </w:r>
          </w:p>
        </w:tc>
      </w:tr>
      <w:tr w:rsidR="00000000">
        <w:trPr>
          <w:divId w:val="1421949158"/>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20"/>
                <w:szCs w:val="20"/>
              </w:rPr>
              <w:t>(State or other jurisdiction of incorporation or organization</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20"/>
                <w:szCs w:val="20"/>
              </w:rPr>
              <w:t>(I.R.S. Employer Identification Number</w:t>
            </w:r>
            <w:r>
              <w:rPr>
                <w:rFonts w:eastAsia="Times New Roman"/>
                <w:color w:val="000000"/>
                <w:sz w:val="20"/>
                <w:szCs w:val="20"/>
              </w:rPr>
              <w:t>)</w:t>
            </w:r>
          </w:p>
        </w:tc>
      </w:tr>
    </w:tbl>
    <w:p w:rsidR="00000000" w:rsidRDefault="007258AD">
      <w:pPr>
        <w:jc w:val="center"/>
        <w:rPr>
          <w:rFonts w:eastAsia="Times New Roman"/>
        </w:rPr>
      </w:pPr>
    </w:p>
    <w:p w:rsidR="00000000" w:rsidRDefault="007258AD">
      <w:pPr>
        <w:jc w:val="center"/>
        <w:divId w:val="1749615631"/>
        <w:rPr>
          <w:rFonts w:eastAsia="Times New Roman"/>
        </w:rPr>
      </w:pPr>
      <w:r>
        <w:rPr>
          <w:rFonts w:eastAsia="Times New Roman"/>
          <w:b/>
          <w:bCs/>
          <w:color w:val="000000"/>
          <w:sz w:val="20"/>
          <w:szCs w:val="20"/>
        </w:rPr>
        <w:t>11950 Democracy Drive, Suite 600</w:t>
      </w:r>
      <w:r>
        <w:rPr>
          <w:rFonts w:eastAsia="Times New Roman"/>
          <w:b/>
          <w:bCs/>
          <w:color w:val="000000"/>
          <w:sz w:val="20"/>
          <w:szCs w:val="20"/>
        </w:rPr>
        <w:t xml:space="preserve"> </w:t>
      </w:r>
    </w:p>
    <w:p w:rsidR="00000000" w:rsidRDefault="007258AD">
      <w:pPr>
        <w:jc w:val="center"/>
        <w:rPr>
          <w:rFonts w:eastAsia="Times New Roman"/>
        </w:rPr>
      </w:pPr>
      <w:r>
        <w:rPr>
          <w:rFonts w:eastAsia="Times New Roman"/>
          <w:b/>
          <w:bCs/>
          <w:color w:val="000000"/>
          <w:sz w:val="20"/>
          <w:szCs w:val="20"/>
        </w:rPr>
        <w:t>Reston, Virginia 20190</w:t>
      </w:r>
      <w:r>
        <w:rPr>
          <w:rFonts w:eastAsia="Times New Roman"/>
          <w:b/>
          <w:bCs/>
          <w:color w:val="000000"/>
          <w:sz w:val="20"/>
          <w:szCs w:val="20"/>
        </w:rPr>
        <w:t xml:space="preserve"> </w:t>
      </w:r>
    </w:p>
    <w:p w:rsidR="00000000" w:rsidRDefault="007258AD">
      <w:pPr>
        <w:jc w:val="center"/>
        <w:rPr>
          <w:rFonts w:eastAsia="Times New Roman"/>
        </w:rPr>
      </w:pPr>
      <w:r>
        <w:rPr>
          <w:rFonts w:eastAsia="Times New Roman"/>
          <w:b/>
          <w:bCs/>
          <w:i/>
          <w:iCs/>
          <w:color w:val="000000"/>
          <w:sz w:val="16"/>
          <w:szCs w:val="16"/>
        </w:rPr>
        <w:t>(Address of Principal Executive Offices</w:t>
      </w:r>
      <w:r>
        <w:rPr>
          <w:rFonts w:eastAsia="Times New Roman"/>
          <w:b/>
          <w:bCs/>
          <w:i/>
          <w:iCs/>
          <w:color w:val="000000"/>
          <w:sz w:val="16"/>
          <w:szCs w:val="16"/>
        </w:rPr>
        <w:t>)</w:t>
      </w:r>
    </w:p>
    <w:p w:rsidR="00000000" w:rsidRDefault="007258AD">
      <w:pPr>
        <w:jc w:val="center"/>
        <w:divId w:val="1186678255"/>
        <w:rPr>
          <w:rFonts w:eastAsia="Times New Roman"/>
        </w:rPr>
      </w:pPr>
      <w:r>
        <w:rPr>
          <w:rFonts w:eastAsia="Times New Roman"/>
          <w:b/>
          <w:bCs/>
          <w:color w:val="000000"/>
          <w:sz w:val="20"/>
          <w:szCs w:val="20"/>
        </w:rPr>
        <w:t>(703) 438-2000</w:t>
      </w:r>
      <w:r>
        <w:rPr>
          <w:rFonts w:eastAsia="Times New Roman"/>
          <w:b/>
          <w:bCs/>
          <w:color w:val="000000"/>
          <w:sz w:val="20"/>
          <w:szCs w:val="20"/>
        </w:rPr>
        <w:t xml:space="preserve"> </w:t>
      </w:r>
    </w:p>
    <w:p w:rsidR="00000000" w:rsidRDefault="007258AD">
      <w:pPr>
        <w:jc w:val="center"/>
        <w:rPr>
          <w:rFonts w:eastAsia="Times New Roman"/>
        </w:rPr>
      </w:pPr>
      <w:r>
        <w:rPr>
          <w:rFonts w:eastAsia="Times New Roman"/>
          <w:b/>
          <w:bCs/>
          <w:i/>
          <w:iCs/>
          <w:color w:val="000000"/>
          <w:sz w:val="16"/>
          <w:szCs w:val="16"/>
        </w:rPr>
        <w:t>(Registrant's Telephone Number, Including Area Code</w:t>
      </w:r>
      <w:r>
        <w:rPr>
          <w:rFonts w:eastAsia="Times New Roman"/>
          <w:b/>
          <w:bCs/>
          <w:i/>
          <w:iCs/>
          <w:color w:val="000000"/>
          <w:sz w:val="16"/>
          <w:szCs w:val="16"/>
        </w:rPr>
        <w:t>)</w:t>
      </w:r>
    </w:p>
    <w:p w:rsidR="00000000" w:rsidRDefault="007258AD">
      <w:pPr>
        <w:jc w:val="center"/>
        <w:rPr>
          <w:rFonts w:eastAsia="Times New Roman"/>
        </w:rPr>
      </w:pPr>
      <w:r>
        <w:rPr>
          <w:rFonts w:eastAsia="Times New Roman"/>
          <w:color w:val="000000"/>
          <w:sz w:val="20"/>
          <w:szCs w:val="20"/>
        </w:rPr>
        <w:t> </w:t>
      </w:r>
      <w:r>
        <w:rPr>
          <w:rFonts w:eastAsia="Times New Roman"/>
          <w:color w:val="000000"/>
          <w:sz w:val="20"/>
          <w:szCs w:val="20"/>
        </w:rPr>
        <w:t>________________________________</w:t>
      </w:r>
      <w:r>
        <w:rPr>
          <w:rFonts w:eastAsia="Times New Roman"/>
          <w:color w:val="000000"/>
          <w:sz w:val="20"/>
          <w:szCs w:val="20"/>
        </w:rPr>
        <w:t> </w:t>
      </w:r>
    </w:p>
    <w:p w:rsidR="00000000" w:rsidRDefault="007258AD">
      <w:pPr>
        <w:jc w:val="both"/>
        <w:divId w:val="2108109093"/>
        <w:rPr>
          <w:rFonts w:eastAsia="Times New Roman"/>
        </w:rPr>
      </w:pPr>
      <w:r>
        <w:rPr>
          <w:rFonts w:eastAsia="Times New Roman"/>
          <w:color w:val="000000"/>
          <w:sz w:val="18"/>
          <w:szCs w:val="18"/>
        </w:rPr>
        <w:t>Securities registered pursuant to Section 12(b) of the Act</w:t>
      </w:r>
      <w:r>
        <w:rPr>
          <w:rFonts w:eastAsia="Times New Roman"/>
          <w:color w:val="000000"/>
          <w:sz w:val="18"/>
          <w:szCs w:val="18"/>
        </w:rPr>
        <w:t>:</w:t>
      </w:r>
    </w:p>
    <w:tbl>
      <w:tblPr>
        <w:tblW w:w="4583" w:type="pct"/>
        <w:jc w:val="center"/>
        <w:tblCellMar>
          <w:top w:w="15" w:type="dxa"/>
          <w:left w:w="15" w:type="dxa"/>
          <w:bottom w:w="15" w:type="dxa"/>
          <w:right w:w="15" w:type="dxa"/>
        </w:tblCellMar>
        <w:tblLook w:val="04A0" w:firstRow="1" w:lastRow="0" w:firstColumn="1" w:lastColumn="0" w:noHBand="0" w:noVBand="1"/>
      </w:tblPr>
      <w:tblGrid>
        <w:gridCol w:w="65"/>
        <w:gridCol w:w="3068"/>
        <w:gridCol w:w="65"/>
        <w:gridCol w:w="36"/>
        <w:gridCol w:w="124"/>
        <w:gridCol w:w="36"/>
        <w:gridCol w:w="66"/>
        <w:gridCol w:w="1532"/>
        <w:gridCol w:w="66"/>
        <w:gridCol w:w="36"/>
        <w:gridCol w:w="124"/>
        <w:gridCol w:w="36"/>
        <w:gridCol w:w="66"/>
        <w:gridCol w:w="2227"/>
        <w:gridCol w:w="66"/>
      </w:tblGrid>
      <w:tr w:rsidR="00000000">
        <w:trPr>
          <w:divId w:val="691959162"/>
          <w:jc w:val="center"/>
        </w:trPr>
        <w:tc>
          <w:tcPr>
            <w:tcW w:w="50" w:type="pct"/>
            <w:vAlign w:val="center"/>
            <w:hideMark/>
          </w:tcPr>
          <w:p w:rsidR="00000000" w:rsidRDefault="007258AD">
            <w:pPr>
              <w:jc w:val="both"/>
              <w:rPr>
                <w:rFonts w:eastAsia="Times New Roman"/>
              </w:rPr>
            </w:pPr>
          </w:p>
        </w:tc>
        <w:tc>
          <w:tcPr>
            <w:tcW w:w="20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88"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01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88"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46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691959162"/>
          <w:jc w:val="center"/>
        </w:trPr>
        <w:tc>
          <w:tcPr>
            <w:tcW w:w="0" w:type="auto"/>
            <w:gridSpan w:val="3"/>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6"/>
                <w:szCs w:val="16"/>
              </w:rPr>
              <w:t>Title of Each Clas</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6"/>
                <w:szCs w:val="16"/>
              </w:rPr>
              <w:t>Trading Symbo</w:t>
            </w:r>
            <w:r>
              <w:rPr>
                <w:rFonts w:eastAsia="Times New Roman"/>
                <w:color w:val="000000"/>
                <w:sz w:val="16"/>
                <w:szCs w:val="16"/>
              </w:rPr>
              <w:t>l</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6"/>
                <w:szCs w:val="16"/>
              </w:rPr>
              <w:t>Name of Each Exchange on Which Registere</w:t>
            </w:r>
            <w:r>
              <w:rPr>
                <w:rFonts w:eastAsia="Times New Roman"/>
                <w:color w:val="000000"/>
                <w:sz w:val="16"/>
                <w:szCs w:val="16"/>
              </w:rPr>
              <w:t>d</w:t>
            </w:r>
          </w:p>
        </w:tc>
      </w:tr>
      <w:tr w:rsidR="00000000">
        <w:trPr>
          <w:divId w:val="69195916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8"/>
                <w:szCs w:val="18"/>
              </w:rPr>
              <w:t>Common Stock, par value $0.001 per shar</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8"/>
                <w:szCs w:val="18"/>
              </w:rPr>
              <w:t>SCO</w:t>
            </w:r>
            <w:r>
              <w:rPr>
                <w:rFonts w:eastAsia="Times New Roman"/>
                <w:color w:val="000000"/>
                <w:sz w:val="18"/>
                <w:szCs w:val="18"/>
              </w:rPr>
              <w:t>R</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258AD">
            <w:pPr>
              <w:jc w:val="center"/>
              <w:rPr>
                <w:rFonts w:eastAsia="Times New Roman"/>
              </w:rPr>
            </w:pPr>
            <w:r>
              <w:rPr>
                <w:rFonts w:eastAsia="Times New Roman"/>
                <w:color w:val="000000"/>
                <w:sz w:val="18"/>
                <w:szCs w:val="18"/>
              </w:rPr>
              <w:t>NASDAQ Global Select Marke</w:t>
            </w:r>
            <w:r>
              <w:rPr>
                <w:rFonts w:eastAsia="Times New Roman"/>
                <w:color w:val="000000"/>
                <w:sz w:val="18"/>
                <w:szCs w:val="18"/>
              </w:rPr>
              <w:t>t</w:t>
            </w:r>
          </w:p>
        </w:tc>
      </w:tr>
    </w:tbl>
    <w:p w:rsidR="00000000" w:rsidRDefault="007258AD">
      <w:pPr>
        <w:ind w:firstLine="360"/>
        <w:jc w:val="both"/>
        <w:divId w:val="107050940"/>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Yes</w:t>
      </w:r>
      <w:r>
        <w:rPr>
          <w:rFonts w:eastAsia="Times New Roman"/>
          <w:color w:val="000000"/>
          <w:sz w:val="18"/>
          <w:szCs w:val="18"/>
        </w:rPr>
        <w:t> </w:t>
      </w:r>
      <w:r>
        <w:rPr>
          <w:rFonts w:ascii="Segoe UI Emoji" w:eastAsia="Times New Roman" w:hAnsi="Segoe UI Emoji" w:cs="Segoe UI Emoji"/>
          <w:color w:val="000000"/>
          <w:sz w:val="18"/>
          <w:szCs w:val="18"/>
        </w:rPr>
        <w:t>☑</w:t>
      </w:r>
      <w:r>
        <w:rPr>
          <w:rFonts w:ascii="Wingdings" w:eastAsia="Times New Roman" w:hAnsi="Wingdings"/>
          <w:color w:val="000000"/>
          <w:sz w:val="18"/>
          <w:szCs w:val="18"/>
        </w:rPr>
        <w:t xml:space="preserve"> </w:t>
      </w:r>
      <w:r>
        <w:rPr>
          <w:rFonts w:eastAsia="Times New Roman"/>
          <w:color w:val="000000"/>
          <w:sz w:val="18"/>
          <w:szCs w:val="18"/>
        </w:rPr>
        <w:t>No</w:t>
      </w:r>
      <w:r>
        <w:rPr>
          <w:rFonts w:eastAsia="Times New Roman"/>
          <w:color w:val="000000"/>
          <w:sz w:val="18"/>
          <w:szCs w:val="18"/>
        </w:rPr>
        <w:t> </w:t>
      </w:r>
      <w:r>
        <w:rPr>
          <w:rFonts w:ascii="Segoe UI Symbol" w:eastAsia="Times New Roman" w:hAnsi="Segoe UI Symbol" w:cs="Segoe UI Symbol"/>
          <w:color w:val="000000"/>
          <w:sz w:val="18"/>
          <w:szCs w:val="18"/>
        </w:rPr>
        <w:t>☐</w:t>
      </w:r>
    </w:p>
    <w:p w:rsidR="00000000" w:rsidRDefault="007258AD">
      <w:pPr>
        <w:ind w:firstLine="360"/>
        <w:jc w:val="both"/>
        <w:divId w:val="385951650"/>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8"/>
          <w:szCs w:val="18"/>
        </w:rPr>
        <w:t>t the registrant was required to submit such files).   Yes</w:t>
      </w:r>
      <w:r>
        <w:rPr>
          <w:rFonts w:eastAsia="Times New Roman"/>
          <w:color w:val="000000"/>
          <w:sz w:val="18"/>
          <w:szCs w:val="18"/>
        </w:rPr>
        <w:t> </w:t>
      </w:r>
      <w:r>
        <w:rPr>
          <w:rFonts w:ascii="Segoe UI Emoji" w:eastAsia="Times New Roman" w:hAnsi="Segoe UI Emoji" w:cs="Segoe UI Emoji"/>
          <w:color w:val="000000"/>
          <w:sz w:val="18"/>
          <w:szCs w:val="18"/>
        </w:rPr>
        <w:t>☑</w:t>
      </w:r>
      <w:r>
        <w:rPr>
          <w:rFonts w:eastAsia="Times New Roman"/>
          <w:color w:val="000000"/>
          <w:sz w:val="18"/>
          <w:szCs w:val="18"/>
        </w:rPr>
        <w:t>  No</w:t>
      </w:r>
      <w:r>
        <w:rPr>
          <w:rFonts w:eastAsia="Times New Roman"/>
          <w:color w:val="000000"/>
          <w:sz w:val="18"/>
          <w:szCs w:val="18"/>
        </w:rPr>
        <w:t> </w:t>
      </w:r>
      <w:r>
        <w:rPr>
          <w:rFonts w:ascii="Segoe UI Symbol" w:eastAsia="Times New Roman" w:hAnsi="Segoe UI Symbol" w:cs="Segoe UI Symbol"/>
          <w:color w:val="000000"/>
          <w:sz w:val="18"/>
          <w:szCs w:val="18"/>
        </w:rPr>
        <w:t>☐</w:t>
      </w:r>
    </w:p>
    <w:p w:rsidR="00000000" w:rsidRDefault="007258AD">
      <w:pPr>
        <w:jc w:val="both"/>
        <w:divId w:val="4406602"/>
        <w:rPr>
          <w:rFonts w:eastAsia="Times New Roman"/>
        </w:rPr>
      </w:pPr>
      <w:r>
        <w:rPr>
          <w:rFonts w:eastAsia="Times New Roman"/>
          <w:color w:val="000000"/>
          <w:sz w:val="18"/>
          <w:szCs w:val="18"/>
        </w:rPr>
        <w:t>        Indicate by check mark whether the registrant is a large accelerated filer, an accelerated filer, a non-accelerated filer, a smaller reporting company, or an emerging growth company</w:t>
      </w:r>
      <w:r>
        <w:rPr>
          <w:rFonts w:eastAsia="Times New Roman"/>
          <w:color w:val="000000"/>
          <w:sz w:val="18"/>
          <w:szCs w:val="18"/>
        </w:rPr>
        <w:t xml:space="preserve">. See the definitions of "large accelerated filer," </w:t>
      </w:r>
      <w:r>
        <w:rPr>
          <w:rFonts w:eastAsia="Times New Roman"/>
          <w:color w:val="000000"/>
          <w:sz w:val="18"/>
          <w:szCs w:val="18"/>
        </w:rPr>
        <w:lastRenderedPageBreak/>
        <w:t>"accelerated filer," "smaller reporting company," and "emerging growth company" in Rule 12b-2 of the Exchange Act</w:t>
      </w:r>
      <w:r>
        <w:rPr>
          <w:rFonts w:eastAsia="Times New Roman"/>
          <w:color w:val="000000"/>
          <w:sz w:val="18"/>
          <w:szCs w:val="18"/>
        </w:rPr>
        <w:t>.</w:t>
      </w:r>
    </w:p>
    <w:tbl>
      <w:tblPr>
        <w:tblW w:w="4750" w:type="pct"/>
        <w:tblCellMar>
          <w:top w:w="15" w:type="dxa"/>
          <w:left w:w="15" w:type="dxa"/>
          <w:bottom w:w="15" w:type="dxa"/>
          <w:right w:w="15" w:type="dxa"/>
        </w:tblCellMar>
        <w:tblLook w:val="04A0" w:firstRow="1" w:lastRow="0" w:firstColumn="1" w:lastColumn="0" w:noHBand="0" w:noVBand="1"/>
      </w:tblPr>
      <w:tblGrid>
        <w:gridCol w:w="60"/>
        <w:gridCol w:w="1450"/>
        <w:gridCol w:w="60"/>
        <w:gridCol w:w="60"/>
        <w:gridCol w:w="88"/>
        <w:gridCol w:w="60"/>
        <w:gridCol w:w="60"/>
        <w:gridCol w:w="3182"/>
        <w:gridCol w:w="60"/>
        <w:gridCol w:w="36"/>
        <w:gridCol w:w="161"/>
        <w:gridCol w:w="36"/>
        <w:gridCol w:w="86"/>
        <w:gridCol w:w="1839"/>
        <w:gridCol w:w="85"/>
        <w:gridCol w:w="36"/>
        <w:gridCol w:w="183"/>
        <w:gridCol w:w="36"/>
        <w:gridCol w:w="62"/>
        <w:gridCol w:w="190"/>
        <w:gridCol w:w="61"/>
      </w:tblGrid>
      <w:tr w:rsidR="00000000">
        <w:trPr>
          <w:divId w:val="1516380596"/>
        </w:trPr>
        <w:tc>
          <w:tcPr>
            <w:tcW w:w="50" w:type="pct"/>
            <w:vAlign w:val="center"/>
            <w:hideMark/>
          </w:tcPr>
          <w:p w:rsidR="00000000" w:rsidRDefault="007258AD">
            <w:pPr>
              <w:jc w:val="both"/>
              <w:rPr>
                <w:rFonts w:eastAsia="Times New Roman"/>
              </w:rPr>
            </w:pPr>
          </w:p>
        </w:tc>
        <w:tc>
          <w:tcPr>
            <w:tcW w:w="93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6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02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14"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07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28"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3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516380596"/>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Large accelerated file</w:t>
            </w:r>
            <w:r>
              <w:rPr>
                <w:rFonts w:eastAsia="Times New Roman"/>
                <w:color w:val="000000"/>
                <w:sz w:val="18"/>
                <w:szCs w:val="18"/>
              </w:rPr>
              <w:t>r</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ascii="Segoe UI Symbol" w:eastAsia="Times New Roman" w:hAnsi="Segoe UI Symbol" w:cs="Segoe UI Symbol"/>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Accelerated file</w:t>
            </w:r>
            <w:r>
              <w:rPr>
                <w:rFonts w:eastAsia="Times New Roman"/>
                <w:color w:val="000000"/>
                <w:sz w:val="18"/>
                <w:szCs w:val="18"/>
              </w:rPr>
              <w:t>r</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ascii="Segoe UI Emoji" w:eastAsia="Times New Roman" w:hAnsi="Segoe UI Emoji" w:cs="Segoe UI Emoji"/>
                <w:color w:val="000000"/>
                <w:sz w:val="18"/>
                <w:szCs w:val="18"/>
              </w:rPr>
              <w:t>☑</w:t>
            </w:r>
          </w:p>
        </w:tc>
      </w:tr>
      <w:tr w:rsidR="00000000">
        <w:trPr>
          <w:divId w:val="1516380596"/>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Non-accelerated file</w:t>
            </w:r>
            <w:r>
              <w:rPr>
                <w:rFonts w:eastAsia="Times New Roman"/>
                <w:color w:val="000000"/>
                <w:sz w:val="18"/>
                <w:szCs w:val="18"/>
              </w:rPr>
              <w:t>r</w:t>
            </w:r>
          </w:p>
        </w:tc>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7258AD">
            <w:pPr>
              <w:divId w:val="1514954928"/>
              <w:rPr>
                <w:rFonts w:eastAsia="Times New Roman"/>
              </w:rPr>
            </w:pPr>
            <w:r>
              <w:rPr>
                <w:rFonts w:ascii="Segoe UI Symbol" w:eastAsia="Times New Roman" w:hAnsi="Segoe UI Symbol" w:cs="Segoe UI Symbol"/>
                <w:color w:val="000000"/>
                <w:sz w:val="18"/>
                <w:szCs w:val="18"/>
              </w:rPr>
              <w:t>☐</w:t>
            </w: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Smaller reporting compan</w:t>
            </w:r>
            <w:r>
              <w:rPr>
                <w:rFonts w:eastAsia="Times New Roman"/>
                <w:color w:val="000000"/>
                <w:sz w:val="18"/>
                <w:szCs w:val="18"/>
              </w:rPr>
              <w:t>y</w:t>
            </w:r>
          </w:p>
        </w:tc>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ascii="Segoe UI Symbol" w:eastAsia="Times New Roman" w:hAnsi="Segoe UI Symbol" w:cs="Segoe UI Symbol"/>
                <w:color w:val="000000"/>
                <w:sz w:val="18"/>
                <w:szCs w:val="18"/>
              </w:rPr>
              <w:t>☐</w:t>
            </w:r>
          </w:p>
        </w:tc>
      </w:tr>
      <w:tr w:rsidR="00000000">
        <w:trPr>
          <w:divId w:val="1516380596"/>
        </w:trPr>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Emerging growth compan</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ascii="Segoe UI Symbol" w:eastAsia="Times New Roman" w:hAnsi="Segoe UI Symbol" w:cs="Segoe UI Symbol"/>
                <w:color w:val="000000"/>
                <w:sz w:val="18"/>
                <w:szCs w:val="18"/>
              </w:rPr>
              <w:t>☐</w:t>
            </w:r>
          </w:p>
        </w:tc>
      </w:tr>
    </w:tbl>
    <w:p w:rsidR="00000000" w:rsidRDefault="007258AD">
      <w:pPr>
        <w:ind w:firstLine="360"/>
        <w:jc w:val="both"/>
        <w:divId w:val="254021860"/>
        <w:rPr>
          <w:rFonts w:eastAsia="Times New Roman"/>
        </w:rPr>
      </w:pPr>
      <w:r>
        <w:rPr>
          <w:rFonts w:eastAsia="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18"/>
          <w:szCs w:val="18"/>
        </w:rPr>
        <w:t xml:space="preserve"> </w:t>
      </w:r>
      <w:r>
        <w:rPr>
          <w:rFonts w:ascii="Segoe UI Symbol" w:eastAsia="Times New Roman" w:hAnsi="Segoe UI Symbol" w:cs="Segoe UI Symbol"/>
          <w:color w:val="000000"/>
          <w:sz w:val="18"/>
          <w:szCs w:val="18"/>
        </w:rPr>
        <w:t>☐</w:t>
      </w:r>
    </w:p>
    <w:p w:rsidR="00000000" w:rsidRDefault="007258AD">
      <w:pPr>
        <w:ind w:firstLine="360"/>
        <w:jc w:val="both"/>
        <w:divId w:val="1957908558"/>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w:t>
      </w:r>
      <w:r>
        <w:rPr>
          <w:rFonts w:eastAsia="Times New Roman"/>
          <w:color w:val="000000"/>
          <w:sz w:val="18"/>
          <w:szCs w:val="18"/>
        </w:rPr>
        <w:t> </w:t>
      </w:r>
      <w:r>
        <w:rPr>
          <w:rFonts w:ascii="Segoe UI Symbol" w:eastAsia="Times New Roman" w:hAnsi="Segoe UI Symbol" w:cs="Segoe UI Symbol"/>
          <w:color w:val="000000"/>
          <w:sz w:val="18"/>
          <w:szCs w:val="18"/>
        </w:rPr>
        <w:t>☐</w:t>
      </w:r>
      <w:r>
        <w:rPr>
          <w:rFonts w:eastAsia="Times New Roman"/>
          <w:color w:val="000000"/>
          <w:sz w:val="18"/>
          <w:szCs w:val="18"/>
        </w:rPr>
        <w:t>    No</w:t>
      </w:r>
      <w:r>
        <w:rPr>
          <w:rFonts w:eastAsia="Times New Roman"/>
          <w:color w:val="000000"/>
          <w:sz w:val="18"/>
          <w:szCs w:val="18"/>
        </w:rPr>
        <w:t> </w:t>
      </w:r>
      <w:r>
        <w:rPr>
          <w:rFonts w:ascii="Segoe UI Emoji" w:eastAsia="Times New Roman" w:hAnsi="Segoe UI Emoji" w:cs="Segoe UI Emoji"/>
          <w:color w:val="000000"/>
          <w:sz w:val="18"/>
          <w:szCs w:val="18"/>
        </w:rPr>
        <w:t>☑</w:t>
      </w:r>
    </w:p>
    <w:p w:rsidR="00000000" w:rsidRDefault="007258AD">
      <w:pPr>
        <w:ind w:firstLine="360"/>
        <w:jc w:val="both"/>
        <w:divId w:val="1801802479"/>
        <w:rPr>
          <w:rFonts w:eastAsia="Times New Roman"/>
        </w:rPr>
      </w:pPr>
      <w:r>
        <w:rPr>
          <w:rFonts w:eastAsia="Times New Roman"/>
          <w:color w:val="000000"/>
          <w:sz w:val="18"/>
          <w:szCs w:val="18"/>
        </w:rPr>
        <w:t>Indicate the number of shares outstanding of each of the registran</w:t>
      </w:r>
      <w:r>
        <w:rPr>
          <w:rFonts w:eastAsia="Times New Roman"/>
          <w:color w:val="000000"/>
          <w:sz w:val="18"/>
          <w:szCs w:val="18"/>
        </w:rPr>
        <w:t>t</w:t>
      </w:r>
      <w:r>
        <w:rPr>
          <w:rFonts w:eastAsia="Times New Roman"/>
          <w:color w:val="000000"/>
          <w:sz w:val="20"/>
          <w:szCs w:val="20"/>
        </w:rPr>
        <w:t>'</w:t>
      </w:r>
      <w:r>
        <w:rPr>
          <w:rFonts w:eastAsia="Times New Roman"/>
          <w:color w:val="000000"/>
          <w:sz w:val="18"/>
          <w:szCs w:val="18"/>
        </w:rPr>
        <w:t>s classes of common stock, as of the latest practicable date:</w:t>
      </w:r>
      <w:r>
        <w:rPr>
          <w:rFonts w:eastAsia="Times New Roman"/>
          <w:color w:val="000000"/>
          <w:sz w:val="18"/>
          <w:szCs w:val="18"/>
        </w:rPr>
        <w:t xml:space="preserve"> As of August 6, 2020, there were 71,219,621 shares of the registrant's Common Stock outstanding</w:t>
      </w:r>
      <w:r>
        <w:rPr>
          <w:rFonts w:eastAsia="Times New Roman"/>
          <w:color w:val="000000"/>
          <w:sz w:val="18"/>
          <w:szCs w:val="18"/>
        </w:rPr>
        <w:t>.</w:t>
      </w:r>
    </w:p>
    <w:tbl>
      <w:tblPr>
        <w:tblW w:w="4722" w:type="pct"/>
        <w:jc w:val="center"/>
        <w:tblCellMar>
          <w:top w:w="15" w:type="dxa"/>
          <w:left w:w="15" w:type="dxa"/>
          <w:bottom w:w="15" w:type="dxa"/>
          <w:right w:w="15" w:type="dxa"/>
        </w:tblCellMar>
        <w:tblLook w:val="04A0" w:firstRow="1" w:lastRow="0" w:firstColumn="1" w:lastColumn="0" w:noHBand="0" w:noVBand="1"/>
      </w:tblPr>
      <w:tblGrid>
        <w:gridCol w:w="78"/>
        <w:gridCol w:w="1386"/>
        <w:gridCol w:w="78"/>
        <w:gridCol w:w="78"/>
        <w:gridCol w:w="1386"/>
        <w:gridCol w:w="77"/>
        <w:gridCol w:w="77"/>
        <w:gridCol w:w="1385"/>
        <w:gridCol w:w="77"/>
        <w:gridCol w:w="77"/>
        <w:gridCol w:w="1385"/>
        <w:gridCol w:w="77"/>
        <w:gridCol w:w="77"/>
        <w:gridCol w:w="1385"/>
        <w:gridCol w:w="77"/>
        <w:gridCol w:w="36"/>
        <w:gridCol w:w="36"/>
        <w:gridCol w:w="36"/>
        <w:gridCol w:w="36"/>
      </w:tblGrid>
      <w:tr w:rsidR="00000000">
        <w:trPr>
          <w:gridAfter w:val="4"/>
          <w:divId w:val="2103453212"/>
          <w:jc w:val="center"/>
        </w:trPr>
        <w:tc>
          <w:tcPr>
            <w:tcW w:w="50" w:type="pct"/>
            <w:vAlign w:val="center"/>
            <w:hideMark/>
          </w:tcPr>
          <w:p w:rsidR="00000000" w:rsidRDefault="007258AD">
            <w:pPr>
              <w:ind w:firstLine="360"/>
              <w:jc w:val="both"/>
              <w:rPr>
                <w:rFonts w:eastAsia="Times New Roman"/>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90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103453212"/>
          <w:trHeight w:val="60"/>
          <w:jc w:val="center"/>
        </w:trPr>
        <w:tc>
          <w:tcPr>
            <w:tcW w:w="0" w:type="auto"/>
            <w:gridSpan w:val="15"/>
            <w:tcBorders>
              <w:top w:val="single" w:sz="8" w:space="0" w:color="000000"/>
              <w:bottom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40200959"/>
        <w:rPr>
          <w:rFonts w:eastAsia="Times New Roman"/>
        </w:rPr>
      </w:pPr>
    </w:p>
    <w:p w:rsidR="00000000" w:rsidRDefault="007258AD">
      <w:pPr>
        <w:rPr>
          <w:rFonts w:eastAsia="Times New Roman"/>
        </w:rPr>
      </w:pPr>
      <w:r>
        <w:rPr>
          <w:rFonts w:eastAsia="Times New Roman"/>
        </w:rPr>
        <w:pict>
          <v:rect id="_x0000_i1025" style="width:0;height:1.5pt" o:hralign="center" o:hrstd="t" o:hr="t" fillcolor="#a0a0a0" stroked="f"/>
        </w:pict>
      </w:r>
    </w:p>
    <w:p w:rsidR="00000000" w:rsidRDefault="007258AD">
      <w:pPr>
        <w:jc w:val="both"/>
        <w:divId w:val="165930828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659308286"/>
        <w:rPr>
          <w:rFonts w:eastAsia="Times New Roman"/>
        </w:rPr>
      </w:pPr>
    </w:p>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divId w:val="116727280"/>
        <w:rPr>
          <w:rFonts w:eastAsia="Times New Roman"/>
        </w:rPr>
      </w:pPr>
      <w:r>
        <w:rPr>
          <w:rFonts w:eastAsia="Times New Roman"/>
          <w:b/>
          <w:bCs/>
          <w:color w:val="000000"/>
          <w:sz w:val="20"/>
          <w:szCs w:val="20"/>
        </w:rPr>
        <w:t>QUARTERLY REPORT ON FORM 10-</w:t>
      </w:r>
      <w:r>
        <w:rPr>
          <w:rFonts w:eastAsia="Times New Roman"/>
          <w:b/>
          <w:bCs/>
          <w:color w:val="000000"/>
          <w:sz w:val="20"/>
          <w:szCs w:val="20"/>
        </w:rPr>
        <w:t>Q</w:t>
      </w:r>
    </w:p>
    <w:p w:rsidR="00000000" w:rsidRDefault="007258AD">
      <w:pPr>
        <w:jc w:val="center"/>
        <w:rPr>
          <w:rFonts w:eastAsia="Times New Roman"/>
        </w:rPr>
      </w:pPr>
      <w:r>
        <w:rPr>
          <w:rFonts w:eastAsia="Times New Roman"/>
          <w:b/>
          <w:bCs/>
          <w:color w:val="000000"/>
          <w:sz w:val="20"/>
          <w:szCs w:val="20"/>
        </w:rPr>
        <w:t>FOR THE QUARTER ENDED JUNE 30, 202</w:t>
      </w:r>
      <w:r>
        <w:rPr>
          <w:rFonts w:eastAsia="Times New Roman"/>
          <w:b/>
          <w:bCs/>
          <w:color w:val="000000"/>
          <w:sz w:val="20"/>
          <w:szCs w:val="20"/>
        </w:rPr>
        <w:t>0</w:t>
      </w:r>
    </w:p>
    <w:p w:rsidR="00000000" w:rsidRDefault="007258AD">
      <w:pPr>
        <w:jc w:val="center"/>
        <w:divId w:val="469592727"/>
        <w:rPr>
          <w:rFonts w:eastAsia="Times New Roman"/>
        </w:rPr>
      </w:pPr>
      <w:r>
        <w:rPr>
          <w:rFonts w:eastAsia="Times New Roman"/>
          <w:b/>
          <w:bCs/>
          <w:color w:val="000000"/>
          <w:sz w:val="20"/>
          <w:szCs w:val="20"/>
        </w:rPr>
        <w:t>TABLE OF CONTENT</w:t>
      </w:r>
      <w:r>
        <w:rPr>
          <w:rFonts w:eastAsia="Times New Roman"/>
          <w:b/>
          <w:bCs/>
          <w:color w:val="000000"/>
          <w:sz w:val="20"/>
          <w:szCs w:val="20"/>
        </w:rPr>
        <w:t>S</w:t>
      </w:r>
    </w:p>
    <w:p w:rsidR="00000000" w:rsidRDefault="007258AD">
      <w:pPr>
        <w:jc w:val="both"/>
        <w:rPr>
          <w:rFonts w:eastAsia="Times New Roman"/>
        </w:rPr>
      </w:pPr>
      <w:r>
        <w:rPr>
          <w:rFonts w:eastAsia="Times New Roman"/>
          <w:color w:val="000000"/>
          <w:sz w:val="18"/>
          <w:szCs w:val="18"/>
        </w:rPr>
        <w:t> </w:t>
      </w:r>
    </w:p>
    <w:tbl>
      <w:tblPr>
        <w:tblW w:w="4527" w:type="pct"/>
        <w:jc w:val="center"/>
        <w:tblCellMar>
          <w:top w:w="15" w:type="dxa"/>
          <w:left w:w="15" w:type="dxa"/>
          <w:bottom w:w="15" w:type="dxa"/>
          <w:right w:w="15" w:type="dxa"/>
        </w:tblCellMar>
        <w:tblLook w:val="04A0" w:firstRow="1" w:lastRow="0" w:firstColumn="1" w:lastColumn="0" w:noHBand="0" w:noVBand="1"/>
      </w:tblPr>
      <w:tblGrid>
        <w:gridCol w:w="76"/>
        <w:gridCol w:w="6114"/>
        <w:gridCol w:w="75"/>
        <w:gridCol w:w="75"/>
        <w:gridCol w:w="1105"/>
        <w:gridCol w:w="75"/>
      </w:tblGrid>
      <w:tr w:rsidR="00000000">
        <w:trPr>
          <w:divId w:val="913709467"/>
          <w:jc w:val="center"/>
        </w:trPr>
        <w:tc>
          <w:tcPr>
            <w:tcW w:w="50" w:type="pct"/>
            <w:vAlign w:val="center"/>
            <w:hideMark/>
          </w:tcPr>
          <w:p w:rsidR="00000000" w:rsidRDefault="007258AD">
            <w:pPr>
              <w:jc w:val="both"/>
              <w:rPr>
                <w:rFonts w:eastAsia="Times New Roman"/>
              </w:rPr>
            </w:pPr>
          </w:p>
        </w:tc>
        <w:tc>
          <w:tcPr>
            <w:tcW w:w="406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73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169639013"/>
              <w:rPr>
                <w:rFonts w:eastAsia="Times New Roman"/>
              </w:rPr>
            </w:pPr>
            <w:hyperlink w:anchor="if3309f2850e6489fbcf3fb9276fba379_10" w:history="1">
              <w:r>
                <w:rPr>
                  <w:rStyle w:val="a3"/>
                  <w:rFonts w:eastAsia="Times New Roman"/>
                  <w:sz w:val="20"/>
                  <w:szCs w:val="20"/>
                </w:rPr>
                <w:t>Cautionary Note Regarding Forward Looking Statements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0" w:history="1">
              <w:r>
                <w:rPr>
                  <w:rStyle w:val="a3"/>
                  <w:rFonts w:eastAsia="Times New Roman"/>
                  <w:sz w:val="20"/>
                  <w:szCs w:val="20"/>
                </w:rPr>
                <w:t>i</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756249589"/>
              <w:rPr>
                <w:rFonts w:eastAsia="Times New Roman"/>
              </w:rPr>
            </w:pPr>
            <w:hyperlink w:anchor="if3309f2850e6489fbcf3fb9276fba379_13" w:history="1">
              <w:r>
                <w:rPr>
                  <w:rStyle w:val="a3"/>
                  <w:rFonts w:eastAsia="Times New Roman"/>
                  <w:sz w:val="20"/>
                  <w:szCs w:val="20"/>
                </w:rPr>
                <w:t>PART I. FINANCIAL I</w:t>
              </w:r>
              <w:r>
                <w:rPr>
                  <w:rStyle w:val="a3"/>
                  <w:rFonts w:eastAsia="Times New Roman"/>
                  <w:sz w:val="20"/>
                  <w:szCs w:val="20"/>
                </w:rPr>
                <w:t>NFORMATION</w:t>
              </w:r>
            </w:hyperlink>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931015140"/>
              <w:rPr>
                <w:rFonts w:eastAsia="Times New Roman"/>
              </w:rPr>
            </w:pPr>
            <w:hyperlink w:anchor="if3309f2850e6489fbcf3fb9276fba379_16" w:history="1">
              <w:r>
                <w:rPr>
                  <w:rStyle w:val="a3"/>
                  <w:rFonts w:eastAsia="Times New Roman"/>
                  <w:sz w:val="20"/>
                  <w:szCs w:val="20"/>
                </w:rPr>
                <w:t>Item 1. Financial Statements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6" w:history="1">
              <w:r>
                <w:rPr>
                  <w:rStyle w:val="a3"/>
                  <w:rFonts w:eastAsia="Times New Roman"/>
                  <w:sz w:val="20"/>
                  <w:szCs w:val="20"/>
                </w:rPr>
                <w:t>1</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497427959"/>
              <w:rPr>
                <w:rFonts w:eastAsia="Times New Roman"/>
              </w:rPr>
            </w:pPr>
            <w:hyperlink w:anchor="if3309f2850e6489fbcf3fb9276fba379_100" w:history="1">
              <w:r>
                <w:rPr>
                  <w:rStyle w:val="a3"/>
                  <w:rFonts w:eastAsia="Times New Roman"/>
                  <w:sz w:val="20"/>
                  <w:szCs w:val="20"/>
                </w:rPr>
                <w:t>Item 2.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00" w:history="1">
              <w:r>
                <w:rPr>
                  <w:rStyle w:val="a3"/>
                  <w:rFonts w:eastAsia="Times New Roman"/>
                  <w:sz w:val="20"/>
                  <w:szCs w:val="20"/>
                </w:rPr>
                <w:t>21</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2040161068"/>
              <w:rPr>
                <w:rFonts w:eastAsia="Times New Roman"/>
              </w:rPr>
            </w:pPr>
            <w:hyperlink w:anchor="if3309f2850e6489fbcf3fb9276fba379_127" w:history="1">
              <w:r>
                <w:rPr>
                  <w:rStyle w:val="a3"/>
                  <w:rFonts w:eastAsia="Times New Roman"/>
                  <w:sz w:val="20"/>
                  <w:szCs w:val="20"/>
                </w:rPr>
                <w:t>Item 3. Quantitative and Qualitative Disclosure about Market Risk</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27" w:history="1">
              <w:r>
                <w:rPr>
                  <w:rStyle w:val="a3"/>
                  <w:rFonts w:eastAsia="Times New Roman"/>
                  <w:sz w:val="20"/>
                  <w:szCs w:val="20"/>
                </w:rPr>
                <w:t>35</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767583955"/>
              <w:rPr>
                <w:rFonts w:eastAsia="Times New Roman"/>
              </w:rPr>
            </w:pPr>
            <w:hyperlink w:anchor="if3309f2850e6489fbcf3fb9276fba379_133"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33" w:history="1">
              <w:r>
                <w:rPr>
                  <w:rStyle w:val="a3"/>
                  <w:rFonts w:eastAsia="Times New Roman"/>
                  <w:sz w:val="20"/>
                  <w:szCs w:val="20"/>
                </w:rPr>
                <w:t>36</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148671639"/>
              <w:rPr>
                <w:rFonts w:eastAsia="Times New Roman"/>
              </w:rPr>
            </w:pPr>
            <w:hyperlink w:anchor="if3309f2850e6489fbcf3fb9276fba379_136" w:history="1">
              <w:r>
                <w:rPr>
                  <w:rStyle w:val="a3"/>
                  <w:rFonts w:eastAsia="Times New Roman"/>
                  <w:sz w:val="20"/>
                  <w:szCs w:val="20"/>
                </w:rPr>
                <w:t>PART II. OTHER INFORMATION</w:t>
              </w:r>
            </w:hyperlink>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851868900"/>
              <w:rPr>
                <w:rFonts w:eastAsia="Times New Roman"/>
              </w:rPr>
            </w:pPr>
            <w:hyperlink w:anchor="if3309f2850e6489fbcf3fb9276fba379_139" w:history="1">
              <w:r>
                <w:rPr>
                  <w:rStyle w:val="a3"/>
                  <w:rFonts w:eastAsia="Times New Roman"/>
                  <w:sz w:val="20"/>
                  <w:szCs w:val="20"/>
                </w:rPr>
                <w:t>Item 1. Legal Proceedings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39" w:history="1">
              <w:r>
                <w:rPr>
                  <w:rStyle w:val="a3"/>
                  <w:rFonts w:eastAsia="Times New Roman"/>
                  <w:sz w:val="20"/>
                  <w:szCs w:val="20"/>
                </w:rPr>
                <w:t>37</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043091569"/>
              <w:rPr>
                <w:rFonts w:eastAsia="Times New Roman"/>
              </w:rPr>
            </w:pPr>
            <w:hyperlink w:anchor="if3309f2850e6489fbcf3fb9276fba379_142"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42" w:history="1">
              <w:r>
                <w:rPr>
                  <w:rStyle w:val="a3"/>
                  <w:rFonts w:eastAsia="Times New Roman"/>
                  <w:sz w:val="20"/>
                  <w:szCs w:val="20"/>
                </w:rPr>
                <w:t>37</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799615947"/>
              <w:rPr>
                <w:rFonts w:eastAsia="Times New Roman"/>
              </w:rPr>
            </w:pPr>
            <w:hyperlink w:anchor="if3309f2850e6489fbcf3fb9276fba379_148" w:history="1">
              <w:r>
                <w:rPr>
                  <w:rStyle w:val="a3"/>
                  <w:rFonts w:eastAsia="Times New Roman"/>
                  <w:sz w:val="20"/>
                  <w:szCs w:val="20"/>
                </w:rPr>
                <w:t>Item 2. 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48" w:history="1">
              <w:r>
                <w:rPr>
                  <w:rStyle w:val="a3"/>
                  <w:rFonts w:eastAsia="Times New Roman"/>
                  <w:sz w:val="20"/>
                  <w:szCs w:val="20"/>
                </w:rPr>
                <w:t>38</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434255064"/>
              <w:rPr>
                <w:rFonts w:eastAsia="Times New Roman"/>
              </w:rPr>
            </w:pPr>
            <w:hyperlink w:anchor="if3309f2850e6489fbcf3fb9276fba379_154" w:history="1">
              <w:r>
                <w:rPr>
                  <w:rStyle w:val="a3"/>
                  <w:rFonts w:eastAsia="Times New Roman"/>
                  <w:sz w:val="20"/>
                  <w:szCs w:val="20"/>
                </w:rPr>
                <w:t>Item 3. Defaults Upon Senior Securities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54" w:history="1">
              <w:r>
                <w:rPr>
                  <w:rStyle w:val="a3"/>
                  <w:rFonts w:eastAsia="Times New Roman"/>
                  <w:sz w:val="20"/>
                  <w:szCs w:val="20"/>
                </w:rPr>
                <w:t>38</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348754167"/>
              <w:rPr>
                <w:rFonts w:eastAsia="Times New Roman"/>
              </w:rPr>
            </w:pPr>
            <w:hyperlink w:anchor="if3309f2850e6489fbcf3fb9276fba379_157"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57" w:history="1">
              <w:r>
                <w:rPr>
                  <w:rStyle w:val="a3"/>
                  <w:rFonts w:eastAsia="Times New Roman"/>
                  <w:sz w:val="20"/>
                  <w:szCs w:val="20"/>
                </w:rPr>
                <w:t>38</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749225816"/>
              <w:rPr>
                <w:rFonts w:eastAsia="Times New Roman"/>
              </w:rPr>
            </w:pPr>
            <w:hyperlink w:anchor="if3309f2850e6489fbcf3fb9276fba379_160" w:history="1">
              <w:r>
                <w:rPr>
                  <w:rStyle w:val="a3"/>
                  <w:rFonts w:eastAsia="Times New Roman"/>
                  <w:sz w:val="20"/>
                  <w:szCs w:val="20"/>
                </w:rPr>
                <w:t>Item 5. Other Information</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60" w:history="1">
              <w:r>
                <w:rPr>
                  <w:rStyle w:val="a3"/>
                  <w:rFonts w:eastAsia="Times New Roman"/>
                  <w:sz w:val="20"/>
                  <w:szCs w:val="20"/>
                </w:rPr>
                <w:t>38</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2037652701"/>
              <w:rPr>
                <w:rFonts w:eastAsia="Times New Roman"/>
              </w:rPr>
            </w:pPr>
            <w:hyperlink w:anchor="if3309f2850e6489fbcf3fb9276fba379_163" w:history="1">
              <w:r>
                <w:rPr>
                  <w:rStyle w:val="a3"/>
                  <w:rFonts w:eastAsia="Times New Roman"/>
                  <w:sz w:val="20"/>
                  <w:szCs w:val="20"/>
                </w:rPr>
                <w:t>Item 6. Exhibits</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63" w:history="1">
              <w:r>
                <w:rPr>
                  <w:rStyle w:val="a3"/>
                  <w:rFonts w:eastAsia="Times New Roman"/>
                  <w:sz w:val="20"/>
                  <w:szCs w:val="20"/>
                </w:rPr>
                <w:t>39</w:t>
              </w:r>
            </w:hyperlink>
          </w:p>
        </w:tc>
      </w:tr>
      <w:tr w:rsidR="00000000">
        <w:trPr>
          <w:divId w:val="913709467"/>
          <w:jc w:val="center"/>
        </w:trPr>
        <w:tc>
          <w:tcPr>
            <w:tcW w:w="0" w:type="auto"/>
            <w:gridSpan w:val="3"/>
            <w:tcMar>
              <w:top w:w="30" w:type="dxa"/>
              <w:left w:w="20" w:type="dxa"/>
              <w:bottom w:w="30" w:type="dxa"/>
              <w:right w:w="20" w:type="dxa"/>
            </w:tcMar>
            <w:hideMark/>
          </w:tcPr>
          <w:p w:rsidR="00000000" w:rsidRDefault="007258AD">
            <w:pPr>
              <w:divId w:val="1701856043"/>
              <w:rPr>
                <w:rFonts w:eastAsia="Times New Roman"/>
              </w:rPr>
            </w:pPr>
            <w:hyperlink w:anchor="if3309f2850e6489fbcf3fb9276fba379_166" w:history="1">
              <w:r>
                <w:rPr>
                  <w:rStyle w:val="a3"/>
                  <w:rFonts w:eastAsia="Times New Roman"/>
                  <w:sz w:val="20"/>
                  <w:szCs w:val="20"/>
                </w:rPr>
                <w:t>SIGNATURE</w:t>
              </w:r>
            </w:hyperlink>
          </w:p>
        </w:tc>
        <w:tc>
          <w:tcPr>
            <w:tcW w:w="0" w:type="auto"/>
            <w:gridSpan w:val="3"/>
            <w:tcMar>
              <w:top w:w="30" w:type="dxa"/>
              <w:left w:w="20" w:type="dxa"/>
              <w:bottom w:w="30" w:type="dxa"/>
              <w:right w:w="20" w:type="dxa"/>
            </w:tcMar>
            <w:vAlign w:val="bottom"/>
            <w:hideMark/>
          </w:tcPr>
          <w:p w:rsidR="00000000" w:rsidRDefault="007258AD">
            <w:pPr>
              <w:jc w:val="right"/>
              <w:rPr>
                <w:rFonts w:eastAsia="Times New Roman"/>
              </w:rPr>
            </w:pPr>
            <w:hyperlink w:anchor="if3309f2850e6489fbcf3fb9276fba379_166" w:history="1">
              <w:r>
                <w:rPr>
                  <w:rStyle w:val="a3"/>
                  <w:rFonts w:eastAsia="Times New Roman"/>
                  <w:sz w:val="20"/>
                  <w:szCs w:val="20"/>
                </w:rPr>
                <w:t>40</w:t>
              </w:r>
            </w:hyperlink>
          </w:p>
        </w:tc>
      </w:tr>
    </w:tbl>
    <w:p w:rsidR="00000000" w:rsidRDefault="007258AD">
      <w:pPr>
        <w:ind w:firstLine="495"/>
        <w:jc w:val="both"/>
        <w:divId w:val="1386176500"/>
        <w:rPr>
          <w:rFonts w:eastAsia="Times New Roman"/>
        </w:rPr>
      </w:pPr>
    </w:p>
    <w:p w:rsidR="00000000" w:rsidRDefault="007258AD">
      <w:pPr>
        <w:jc w:val="both"/>
        <w:divId w:val="1008798295"/>
        <w:rPr>
          <w:rFonts w:eastAsia="Times New Roman"/>
        </w:rPr>
      </w:pPr>
    </w:p>
    <w:p w:rsidR="00000000" w:rsidRDefault="007258AD">
      <w:pPr>
        <w:rPr>
          <w:rFonts w:eastAsia="Times New Roman"/>
        </w:rPr>
      </w:pPr>
      <w:r>
        <w:rPr>
          <w:rFonts w:eastAsia="Times New Roman"/>
        </w:rPr>
        <w:pict>
          <v:rect id="_x0000_i1026" style="width:0;height:1.5pt" o:hralign="center" o:hrstd="t" o:hr="t" fillcolor="#a0a0a0" stroked="f"/>
        </w:pict>
      </w:r>
    </w:p>
    <w:p w:rsidR="00000000" w:rsidRDefault="007258AD">
      <w:pPr>
        <w:jc w:val="both"/>
        <w:divId w:val="1943341105"/>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943341105"/>
        <w:rPr>
          <w:rFonts w:eastAsia="Times New Roman"/>
        </w:rPr>
      </w:pPr>
    </w:p>
    <w:p w:rsidR="00000000" w:rsidRDefault="007258AD">
      <w:pPr>
        <w:jc w:val="center"/>
        <w:divId w:val="1357579629"/>
        <w:rPr>
          <w:rFonts w:eastAsia="Times New Roman"/>
        </w:rPr>
      </w:pPr>
      <w:r>
        <w:rPr>
          <w:rFonts w:eastAsia="Times New Roman"/>
          <w:b/>
          <w:bCs/>
          <w:color w:val="000000"/>
          <w:sz w:val="20"/>
          <w:szCs w:val="20"/>
        </w:rPr>
        <w:t>CAUTIONARY NOTE REGARDING FORWARD-LOOKING STATEMENT</w:t>
      </w:r>
      <w:r>
        <w:rPr>
          <w:rFonts w:eastAsia="Times New Roman"/>
          <w:b/>
          <w:bCs/>
          <w:color w:val="000000"/>
          <w:sz w:val="20"/>
          <w:szCs w:val="20"/>
        </w:rPr>
        <w:t>S</w:t>
      </w:r>
    </w:p>
    <w:p w:rsidR="00000000" w:rsidRDefault="007258AD">
      <w:pPr>
        <w:jc w:val="both"/>
        <w:divId w:val="936711673"/>
        <w:rPr>
          <w:rFonts w:eastAsia="Times New Roman"/>
        </w:rPr>
      </w:pPr>
      <w:r>
        <w:rPr>
          <w:rFonts w:eastAsia="Times New Roman"/>
          <w:i/>
          <w:iCs/>
          <w:color w:val="000000"/>
          <w:sz w:val="20"/>
          <w:szCs w:val="20"/>
        </w:rPr>
        <w:lastRenderedPageBreak/>
        <w:t>We may make certain statements, including in this Quarterly Report on Form 10-Q, or 10-Q, including the information contained in</w:t>
      </w:r>
      <w:r>
        <w:rPr>
          <w:rFonts w:eastAsia="Times New Roman"/>
          <w:i/>
          <w:iCs/>
          <w:color w:val="000000"/>
          <w:sz w:val="20"/>
          <w:szCs w:val="20"/>
        </w:rPr>
        <w:t xml:space="preserve"> </w:t>
      </w:r>
      <w:hyperlink w:anchor="if3309f2850e6489fbcf3fb9276fba379_100" w:history="1">
        <w:r>
          <w:rPr>
            <w:rStyle w:val="a3"/>
            <w:rFonts w:eastAsia="Times New Roman"/>
            <w:i/>
            <w:iCs/>
            <w:sz w:val="20"/>
            <w:szCs w:val="20"/>
          </w:rPr>
          <w:t>Item 2</w:t>
        </w:r>
      </w:hyperlink>
      <w:r>
        <w:rPr>
          <w:rFonts w:eastAsia="Times New Roman"/>
          <w:i/>
          <w:iCs/>
          <w:color w:val="000000"/>
          <w:sz w:val="20"/>
          <w:szCs w:val="20"/>
        </w:rPr>
        <w:t>, "Management's Discussion and Analysis of Financial Conditio</w:t>
      </w:r>
      <w:r>
        <w:rPr>
          <w:rFonts w:eastAsia="Times New Roman"/>
          <w:i/>
          <w:iCs/>
          <w:color w:val="000000"/>
          <w:sz w:val="20"/>
          <w:szCs w:val="20"/>
        </w:rPr>
        <w:t>n and Results of Operations" of this 10-Q, and the information incorporated by reference in this 10-Q, that constitute forward-looking statements within the meaning of federal and state securities laws. Forward-looking statements are all statements other t</w:t>
      </w:r>
      <w:r>
        <w:rPr>
          <w:rFonts w:eastAsia="Times New Roman"/>
          <w:i/>
          <w:iCs/>
          <w:color w:val="000000"/>
          <w:sz w:val="20"/>
          <w:szCs w:val="20"/>
        </w:rPr>
        <w:t>han statements of historical fact. We attempt to identify these forward-looking statements by words such as "may," "will," "should," "could," "might," "expect," "plan," "anticipate," "believe," "estimate," "target," "goal," "predict," "intend," "potential,</w:t>
      </w:r>
      <w:r>
        <w:rPr>
          <w:rFonts w:eastAsia="Times New Roman"/>
          <w:i/>
          <w:iCs/>
          <w:color w:val="000000"/>
          <w:sz w:val="20"/>
          <w:szCs w:val="20"/>
        </w:rPr>
        <w:t>" "continue," "seek" and other comparable words. Similarly, statements that describe our business strategy, goals, prospects, opportunities, outlook, objectives, plans or intentions are also forward-looking statements. These statements may relate to, but a</w:t>
      </w:r>
      <w:r>
        <w:rPr>
          <w:rFonts w:eastAsia="Times New Roman"/>
          <w:i/>
          <w:iCs/>
          <w:color w:val="000000"/>
          <w:sz w:val="20"/>
          <w:szCs w:val="20"/>
        </w:rPr>
        <w:t>re not limited to, expectations of future operating results or financial performance; expectations regarding the impact on our business of the COVID-19 pandemic and global measures to mitigate the spread of the virus; macroeconomic trends that we expect ma</w:t>
      </w:r>
      <w:r>
        <w:rPr>
          <w:rFonts w:eastAsia="Times New Roman"/>
          <w:i/>
          <w:iCs/>
          <w:color w:val="000000"/>
          <w:sz w:val="20"/>
          <w:szCs w:val="20"/>
        </w:rPr>
        <w:t>y influence our business, including any recession resulting from the COVID-19 pandemic; plans for business continuity, financing and capital expenditures; expectations regarding liquidity, customer payments and compliance with financing covenants and other</w:t>
      </w:r>
      <w:r>
        <w:rPr>
          <w:rFonts w:eastAsia="Times New Roman"/>
          <w:i/>
          <w:iCs/>
          <w:color w:val="000000"/>
          <w:sz w:val="20"/>
          <w:szCs w:val="20"/>
        </w:rPr>
        <w:t xml:space="preserve"> payment obligations; expectations regarding the introduction of new products; effects of restructuring, remote work arrangements and other employment actions; regulatory compliance and expected changes in the regulatory or privacy landscape affecting our </w:t>
      </w:r>
      <w:r>
        <w:rPr>
          <w:rFonts w:eastAsia="Times New Roman"/>
          <w:i/>
          <w:iCs/>
          <w:color w:val="000000"/>
          <w:sz w:val="20"/>
          <w:szCs w:val="20"/>
        </w:rPr>
        <w:t>business; expected impact of litigation and regulatory proceedings; plans for stabilization, growth and future operations; effects of acquisitions, divestitures and partnerships; as well as assumptions relating to the foregoing</w:t>
      </w:r>
      <w:r>
        <w:rPr>
          <w:rFonts w:eastAsia="Times New Roman"/>
          <w:i/>
          <w:iCs/>
          <w:color w:val="000000"/>
          <w:sz w:val="20"/>
          <w:szCs w:val="20"/>
        </w:rPr>
        <w:t>.</w:t>
      </w:r>
    </w:p>
    <w:p w:rsidR="00000000" w:rsidRDefault="007258AD">
      <w:pPr>
        <w:jc w:val="both"/>
        <w:divId w:val="1948541064"/>
        <w:rPr>
          <w:rFonts w:eastAsia="Times New Roman"/>
        </w:rPr>
      </w:pPr>
      <w:r>
        <w:rPr>
          <w:rFonts w:eastAsia="Times New Roman"/>
          <w:i/>
          <w:iCs/>
          <w:color w:val="000000"/>
          <w:sz w:val="20"/>
          <w:szCs w:val="20"/>
        </w:rPr>
        <w:t xml:space="preserve">Forward-looking statements </w:t>
      </w:r>
      <w:r>
        <w:rPr>
          <w:rFonts w:eastAsia="Times New Roman"/>
          <w:i/>
          <w:iCs/>
          <w:color w:val="000000"/>
          <w:sz w:val="20"/>
          <w:szCs w:val="20"/>
        </w:rPr>
        <w:t>are inherently subject to risks and uncertainties, some of which cannot be predicted or quantified. These statements are based on expectations and assumptions as of the date of this 10-Q regarding future events and business performance and involve known an</w:t>
      </w:r>
      <w:r>
        <w:rPr>
          <w:rFonts w:eastAsia="Times New Roman"/>
          <w:i/>
          <w:iCs/>
          <w:color w:val="000000"/>
          <w:sz w:val="20"/>
          <w:szCs w:val="20"/>
        </w:rPr>
        <w:t>d unknown risks, uncertainties and other factors that may cause actual events or results to be materially different from any future events or results expressed or implied by these statements. These factors include those set forth in the following discussio</w:t>
      </w:r>
      <w:r>
        <w:rPr>
          <w:rFonts w:eastAsia="Times New Roman"/>
          <w:i/>
          <w:iCs/>
          <w:color w:val="000000"/>
          <w:sz w:val="20"/>
          <w:szCs w:val="20"/>
        </w:rPr>
        <w:t>n and within</w:t>
      </w:r>
      <w:r>
        <w:rPr>
          <w:rFonts w:eastAsia="Times New Roman"/>
          <w:i/>
          <w:iCs/>
          <w:color w:val="000000"/>
          <w:sz w:val="20"/>
          <w:szCs w:val="20"/>
        </w:rPr>
        <w:t xml:space="preserve"> </w:t>
      </w:r>
      <w:hyperlink w:anchor="if3309f2850e6489fbcf3fb9276fba379_142" w:history="1">
        <w:r>
          <w:rPr>
            <w:rStyle w:val="a3"/>
            <w:rFonts w:eastAsia="Times New Roman"/>
            <w:i/>
            <w:iCs/>
            <w:sz w:val="20"/>
            <w:szCs w:val="20"/>
          </w:rPr>
          <w:t>Item 1A</w:t>
        </w:r>
      </w:hyperlink>
      <w:r>
        <w:rPr>
          <w:rFonts w:eastAsia="Times New Roman"/>
          <w:i/>
          <w:iCs/>
          <w:color w:val="000000"/>
          <w:sz w:val="20"/>
          <w:szCs w:val="20"/>
        </w:rPr>
        <w:t>, "Risk Factors" of this 10-Q and elsewhere within this report; those identified within</w:t>
      </w:r>
      <w:r>
        <w:rPr>
          <w:rFonts w:eastAsia="Times New Roman"/>
          <w:i/>
          <w:iCs/>
          <w:color w:val="000000"/>
          <w:sz w:val="20"/>
          <w:szCs w:val="20"/>
        </w:rPr>
        <w:t xml:space="preserve"> </w:t>
      </w:r>
      <w:hyperlink r:id="rId4" w:anchor="s626CB24FF3DC5DF49DE365CF200BB9B8" w:history="1">
        <w:r>
          <w:rPr>
            <w:rStyle w:val="a3"/>
            <w:rFonts w:eastAsia="Times New Roman"/>
            <w:i/>
            <w:iCs/>
            <w:sz w:val="20"/>
            <w:szCs w:val="20"/>
          </w:rPr>
          <w:t>Item 1A</w:t>
        </w:r>
      </w:hyperlink>
      <w:r>
        <w:rPr>
          <w:rFonts w:eastAsia="Times New Roman"/>
          <w:i/>
          <w:iCs/>
          <w:color w:val="000000"/>
          <w:sz w:val="20"/>
          <w:szCs w:val="20"/>
        </w:rPr>
        <w:t>, "Risk Factors" of our Annual Report on Form 10-K for the year ended December 31, 2019 and</w:t>
      </w:r>
      <w:r>
        <w:rPr>
          <w:rFonts w:eastAsia="Times New Roman"/>
          <w:i/>
          <w:iCs/>
          <w:color w:val="000000"/>
          <w:sz w:val="20"/>
          <w:szCs w:val="20"/>
        </w:rPr>
        <w:t xml:space="preserve"> </w:t>
      </w:r>
      <w:hyperlink r:id="rId5" w:anchor="s3EC6014FADF05EAF91A36EA1DA966AC1" w:history="1">
        <w:r>
          <w:rPr>
            <w:rStyle w:val="a3"/>
            <w:rFonts w:eastAsia="Times New Roman"/>
            <w:i/>
            <w:iCs/>
            <w:sz w:val="20"/>
            <w:szCs w:val="20"/>
          </w:rPr>
          <w:t>Item 1A</w:t>
        </w:r>
      </w:hyperlink>
      <w:r>
        <w:rPr>
          <w:rFonts w:eastAsia="Times New Roman"/>
          <w:i/>
          <w:iCs/>
          <w:color w:val="000000"/>
          <w:sz w:val="20"/>
          <w:szCs w:val="20"/>
        </w:rPr>
        <w:t>, "Risk Factors" of our Quarterly Report on Form 10-Q for the quarter ended March 31, 2020; and those identified in other documents that we file from time to time with the U.S. Securities and Exchange Com</w:t>
      </w:r>
      <w:r>
        <w:rPr>
          <w:rFonts w:eastAsia="Times New Roman"/>
          <w:i/>
          <w:iCs/>
          <w:color w:val="000000"/>
          <w:sz w:val="20"/>
          <w:szCs w:val="20"/>
        </w:rPr>
        <w:t>mission, or SEC</w:t>
      </w:r>
      <w:r>
        <w:rPr>
          <w:rFonts w:eastAsia="Times New Roman"/>
          <w:i/>
          <w:iCs/>
          <w:color w:val="000000"/>
          <w:sz w:val="20"/>
          <w:szCs w:val="20"/>
        </w:rPr>
        <w:t>.</w:t>
      </w:r>
    </w:p>
    <w:p w:rsidR="00000000" w:rsidRDefault="007258AD">
      <w:pPr>
        <w:jc w:val="both"/>
        <w:divId w:val="1972050074"/>
        <w:rPr>
          <w:rFonts w:eastAsia="Times New Roman"/>
        </w:rPr>
      </w:pPr>
      <w:r>
        <w:rPr>
          <w:rFonts w:eastAsia="Times New Roman"/>
          <w:i/>
          <w:iCs/>
          <w:color w:val="000000"/>
          <w:sz w:val="20"/>
          <w:szCs w:val="20"/>
        </w:rPr>
        <w:t>We believe that it is important to communicate our future expectations to our investors. However, there may be events in the future that we are not able to accurately predict or control and that may cause our actual results to differ mater</w:t>
      </w:r>
      <w:r>
        <w:rPr>
          <w:rFonts w:eastAsia="Times New Roman"/>
          <w:i/>
          <w:iCs/>
          <w:color w:val="000000"/>
          <w:sz w:val="20"/>
          <w:szCs w:val="20"/>
        </w:rPr>
        <w:t xml:space="preserve">ially from the expectations we describe in our forward-looking statements. You should not place undue reliance on forward-looking statements, which apply only as of the date of this 10-Q. You should carefully review the risk factors described in this 10-Q </w:t>
      </w:r>
      <w:r>
        <w:rPr>
          <w:rFonts w:eastAsia="Times New Roman"/>
          <w:i/>
          <w:iCs/>
          <w:color w:val="000000"/>
          <w:sz w:val="20"/>
          <w:szCs w:val="20"/>
        </w:rPr>
        <w:t>and in other documents that we file from time to time with the SEC. Except as required by applicable law, including the rules and regulations of the SEC, we undertake no obligation, and expressly disclaim any duty, to publicly update or revise forward-look</w:t>
      </w:r>
      <w:r>
        <w:rPr>
          <w:rFonts w:eastAsia="Times New Roman"/>
          <w:i/>
          <w:iCs/>
          <w:color w:val="000000"/>
          <w:sz w:val="20"/>
          <w:szCs w:val="20"/>
        </w:rPr>
        <w:t>ing statements, whether as a result of any new information, future events or otherwise. Although we believe the expectations reflected in the forward-looking statements are reasonable as of the date of this 10-Q, our statements are not guarantees of future</w:t>
      </w:r>
      <w:r>
        <w:rPr>
          <w:rFonts w:eastAsia="Times New Roman"/>
          <w:i/>
          <w:iCs/>
          <w:color w:val="000000"/>
          <w:sz w:val="20"/>
          <w:szCs w:val="20"/>
        </w:rPr>
        <w:t xml:space="preserve"> results, levels of activity, performance, or achievements, and actual outcomes and results may differ materially from those expressed in, or implied by, any of our statements</w:t>
      </w:r>
      <w:r>
        <w:rPr>
          <w:rFonts w:eastAsia="Times New Roman"/>
          <w:i/>
          <w:iCs/>
          <w:color w:val="000000"/>
          <w:sz w:val="20"/>
          <w:szCs w:val="20"/>
        </w:rPr>
        <w:t>.</w:t>
      </w:r>
    </w:p>
    <w:p w:rsidR="00000000" w:rsidRDefault="007258AD">
      <w:pPr>
        <w:jc w:val="center"/>
        <w:divId w:val="1707873602"/>
        <w:rPr>
          <w:rFonts w:eastAsia="Times New Roman"/>
        </w:rPr>
      </w:pPr>
      <w:r>
        <w:rPr>
          <w:rFonts w:eastAsia="Times New Roman"/>
          <w:color w:val="000000"/>
          <w:sz w:val="20"/>
          <w:szCs w:val="20"/>
        </w:rPr>
        <w:t>i</w:t>
      </w:r>
    </w:p>
    <w:p w:rsidR="00000000" w:rsidRDefault="007258AD">
      <w:pPr>
        <w:rPr>
          <w:rFonts w:eastAsia="Times New Roman"/>
        </w:rPr>
      </w:pPr>
      <w:r>
        <w:rPr>
          <w:rFonts w:eastAsia="Times New Roman"/>
        </w:rPr>
        <w:pict>
          <v:rect id="_x0000_i1027" style="width:0;height:1.5pt" o:hralign="center" o:hrstd="t" o:hr="t" fillcolor="#a0a0a0" stroked="f"/>
        </w:pict>
      </w:r>
    </w:p>
    <w:p w:rsidR="00000000" w:rsidRDefault="007258AD">
      <w:pPr>
        <w:jc w:val="both"/>
        <w:divId w:val="172034955"/>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72034955"/>
        <w:rPr>
          <w:rFonts w:eastAsia="Times New Roman"/>
        </w:rPr>
      </w:pPr>
    </w:p>
    <w:p w:rsidR="00000000" w:rsidRDefault="007258AD">
      <w:pPr>
        <w:jc w:val="center"/>
        <w:rPr>
          <w:rFonts w:eastAsia="Times New Roman"/>
        </w:rPr>
      </w:pPr>
    </w:p>
    <w:p w:rsidR="00000000" w:rsidRDefault="007258AD">
      <w:pPr>
        <w:jc w:val="center"/>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tbl>
      <w:tblPr>
        <w:tblW w:w="4722" w:type="pct"/>
        <w:jc w:val="center"/>
        <w:tblCellMar>
          <w:top w:w="15" w:type="dxa"/>
          <w:left w:w="15" w:type="dxa"/>
          <w:bottom w:w="15" w:type="dxa"/>
          <w:right w:w="15" w:type="dxa"/>
        </w:tblCellMar>
        <w:tblLook w:val="04A0" w:firstRow="1" w:lastRow="0" w:firstColumn="1" w:lastColumn="0" w:noHBand="0" w:noVBand="1"/>
      </w:tblPr>
      <w:tblGrid>
        <w:gridCol w:w="79"/>
        <w:gridCol w:w="766"/>
        <w:gridCol w:w="78"/>
        <w:gridCol w:w="78"/>
        <w:gridCol w:w="6765"/>
        <w:gridCol w:w="78"/>
      </w:tblGrid>
      <w:tr w:rsidR="00000000">
        <w:trPr>
          <w:divId w:val="1847939748"/>
          <w:jc w:val="center"/>
        </w:trPr>
        <w:tc>
          <w:tcPr>
            <w:tcW w:w="50" w:type="pct"/>
            <w:vAlign w:val="center"/>
            <w:hideMark/>
          </w:tcPr>
          <w:p w:rsidR="00000000" w:rsidRDefault="007258AD">
            <w:pPr>
              <w:jc w:val="center"/>
              <w:rPr>
                <w:rFonts w:eastAsia="Times New Roman"/>
              </w:rPr>
            </w:pPr>
          </w:p>
        </w:tc>
        <w:tc>
          <w:tcPr>
            <w:tcW w:w="48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1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847939748"/>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1</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FINANCIAL STATEMENT</w:t>
            </w:r>
            <w:r>
              <w:rPr>
                <w:rFonts w:eastAsia="Times New Roman"/>
                <w:b/>
                <w:bCs/>
                <w:i/>
                <w:iCs/>
                <w:color w:val="000000"/>
                <w:sz w:val="20"/>
                <w:szCs w:val="20"/>
              </w:rPr>
              <w:t>S</w:t>
            </w:r>
          </w:p>
        </w:tc>
      </w:tr>
    </w:tbl>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S</w:t>
      </w:r>
    </w:p>
    <w:p w:rsidR="00000000" w:rsidRDefault="007258AD">
      <w:pPr>
        <w:jc w:val="center"/>
        <w:rPr>
          <w:rFonts w:eastAsia="Times New Roman"/>
        </w:rPr>
      </w:pPr>
      <w:r>
        <w:rPr>
          <w:rFonts w:eastAsia="Times New Roman"/>
          <w:b/>
          <w:bCs/>
          <w:color w:val="000000"/>
          <w:sz w:val="16"/>
          <w:szCs w:val="16"/>
        </w:rPr>
        <w:t>(In thousands, except share and per share data</w:t>
      </w:r>
      <w:r>
        <w:rPr>
          <w:rFonts w:eastAsia="Times New Roman"/>
          <w:b/>
          <w:bCs/>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5822"/>
        <w:gridCol w:w="48"/>
        <w:gridCol w:w="36"/>
        <w:gridCol w:w="36"/>
        <w:gridCol w:w="36"/>
        <w:gridCol w:w="126"/>
        <w:gridCol w:w="894"/>
        <w:gridCol w:w="81"/>
        <w:gridCol w:w="36"/>
        <w:gridCol w:w="36"/>
        <w:gridCol w:w="36"/>
        <w:gridCol w:w="127"/>
        <w:gridCol w:w="866"/>
        <w:gridCol w:w="80"/>
      </w:tblGrid>
      <w:tr w:rsidR="00000000">
        <w:trPr>
          <w:divId w:val="401025635"/>
          <w:jc w:val="center"/>
        </w:trPr>
        <w:tc>
          <w:tcPr>
            <w:tcW w:w="50" w:type="pct"/>
            <w:vAlign w:val="center"/>
            <w:hideMark/>
          </w:tcPr>
          <w:p w:rsidR="00000000" w:rsidRDefault="007258AD">
            <w:pPr>
              <w:jc w:val="center"/>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401025635"/>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r>
      <w:tr w:rsidR="00000000">
        <w:trPr>
          <w:divId w:val="401025635"/>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401025635"/>
          <w:jc w:val="center"/>
        </w:trPr>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(Unaudited</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lastRenderedPageBreak/>
              <w:t>Current assets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35,899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46,590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cas</w:t>
            </w:r>
            <w:r>
              <w:rPr>
                <w:rFonts w:eastAsia="Times New Roman"/>
                <w:color w:val="000000"/>
                <w:sz w:val="18"/>
                <w:szCs w:val="18"/>
              </w:rPr>
              <w:t>h</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19,611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98306850"/>
              <w:rPr>
                <w:rFonts w:eastAsia="Times New Roman"/>
              </w:rPr>
            </w:pPr>
            <w:r>
              <w:rPr>
                <w:rFonts w:eastAsia="Times New Roman"/>
                <w:color w:val="000000"/>
                <w:sz w:val="18"/>
                <w:szCs w:val="18"/>
              </w:rPr>
              <w:t xml:space="preserve">Accounts receivable, net of allowances of $2,772 and $1,919, respectively ($2,406 and $2,698 </w:t>
            </w:r>
            <w:r>
              <w:rPr>
                <w:rFonts w:eastAsia="Times New Roman"/>
                <w:color w:val="000000"/>
                <w:sz w:val="18"/>
                <w:szCs w:val="18"/>
              </w:rPr>
              <w:t>of accounts receivable attributable to related parties, respectively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64,026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71,853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301738994"/>
              <w:rPr>
                <w:rFonts w:eastAsia="Times New Roman"/>
              </w:rPr>
            </w:pPr>
            <w:r>
              <w:rPr>
                <w:rFonts w:eastAsia="Times New Roman"/>
                <w:color w:val="000000"/>
                <w:sz w:val="18"/>
                <w:szCs w:val="18"/>
              </w:rPr>
              <w:t>Prepaid expenses and other current assets ($1,156 and $1,180 attributable to related parties, respectively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15,357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134,291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153,983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Property and equipment, net</w:t>
            </w:r>
            <w:r>
              <w:rPr>
                <w:rFonts w:eastAsia="Times New Roman"/>
                <w:color w:val="000000"/>
                <w:sz w:val="18"/>
                <w:szCs w:val="18"/>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30,362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31,693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Operating right-of-use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31,484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36,689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 non-current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Deferred tax assets</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2,374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Intangible assets, net</w:t>
            </w:r>
            <w:r>
              <w:rPr>
                <w:rFonts w:eastAsia="Times New Roman"/>
                <w:color w:val="000000"/>
                <w:sz w:val="18"/>
                <w:szCs w:val="18"/>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65,790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79,559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Goodwill</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416,172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416,418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683,619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723,695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Liabilities and Stockholders' Equit</w:t>
            </w:r>
            <w:r>
              <w:rPr>
                <w:rFonts w:eastAsia="Times New Roman"/>
                <w:b/>
                <w:bCs/>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89787581"/>
              <w:rPr>
                <w:rFonts w:eastAsia="Times New Roman"/>
              </w:rPr>
            </w:pPr>
            <w:r>
              <w:rPr>
                <w:rFonts w:eastAsia="Times New Roman"/>
                <w:color w:val="000000"/>
                <w:sz w:val="18"/>
                <w:szCs w:val="18"/>
              </w:rPr>
              <w:t>Accounts payable ($1,084 and $2,510 attributable to related parties, respectively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36,178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44,804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163545051"/>
              <w:rPr>
                <w:rFonts w:eastAsia="Times New Roman"/>
              </w:rPr>
            </w:pPr>
            <w:r>
              <w:rPr>
                <w:rFonts w:eastAsia="Times New Roman"/>
                <w:color w:val="000000"/>
                <w:sz w:val="18"/>
                <w:szCs w:val="18"/>
              </w:rPr>
              <w:t xml:space="preserve">Accrued expenses ($7,666 and $6,902 </w:t>
            </w:r>
            <w:r>
              <w:rPr>
                <w:rFonts w:eastAsia="Times New Roman"/>
                <w:color w:val="000000"/>
                <w:sz w:val="18"/>
                <w:szCs w:val="18"/>
              </w:rPr>
              <w:t>attributable to related parties, respectively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51,071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55,507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799182155"/>
              <w:rPr>
                <w:rFonts w:eastAsia="Times New Roman"/>
              </w:rPr>
            </w:pPr>
            <w:r>
              <w:rPr>
                <w:rFonts w:eastAsia="Times New Roman"/>
                <w:color w:val="000000"/>
                <w:sz w:val="18"/>
                <w:szCs w:val="18"/>
              </w:rPr>
              <w:t>Contract liability ($1,800 and $1,519 attributable to related parties, respectively</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55,422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58,158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Customer advance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9,886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Warrants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operating lease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 current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168,652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190,237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Secured term not</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12,488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12,463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Financing derivatives (related parties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21,587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Senior secured convertible notes (related parties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188,275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184,075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Non-current operating lease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39,480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42,497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Non-current contract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Deferred tax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 non-current liabilities</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13,284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443,612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464,721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Commitments and contingencie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Stockholders' equity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40102563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39793098"/>
              <w:rPr>
                <w:rFonts w:eastAsia="Times New Roman"/>
              </w:rPr>
            </w:pPr>
            <w:r>
              <w:rPr>
                <w:rFonts w:eastAsia="Times New Roman"/>
                <w:color w:val="000000"/>
                <w:sz w:val="18"/>
                <w:szCs w:val="18"/>
              </w:rPr>
              <w:t xml:space="preserve">Preferred stock, $0.001 par value per share; 5,000,000 shares authorized at June 30, 2020 and December 31, 2019; no </w:t>
            </w:r>
            <w:r>
              <w:rPr>
                <w:rFonts w:eastAsia="Times New Roman"/>
                <w:color w:val="000000"/>
                <w:sz w:val="18"/>
                <w:szCs w:val="18"/>
              </w:rPr>
              <w:t>shares issued or outstanding as of June 30, 2020 and December 31,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470752234"/>
              <w:rPr>
                <w:rFonts w:eastAsia="Times New Roman"/>
              </w:rPr>
            </w:pPr>
            <w:r>
              <w:rPr>
                <w:rFonts w:eastAsia="Times New Roman"/>
                <w:color w:val="000000"/>
                <w:sz w:val="18"/>
                <w:szCs w:val="18"/>
              </w:rPr>
              <w:t xml:space="preserve">Common stock, $0.001 par value per share; 150,000,000 </w:t>
            </w:r>
            <w:r>
              <w:rPr>
                <w:rFonts w:eastAsia="Times New Roman"/>
                <w:color w:val="000000"/>
                <w:sz w:val="18"/>
                <w:szCs w:val="18"/>
              </w:rPr>
              <w:t>shares authorized as of June 30, 2020 and December 31, 2019; 77,629,871 shares issued and 70,865,075 shares outstanding as of June 30, 2020, and 76,829,926 shares issued and 70,065,130 shares outstanding as of December 31, 201</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Additional paid-in capita</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1,615,284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1,609,358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Accumulated other comprehensive los</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(12,333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Accumulated defici</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(1,131,722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(1,108,137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882086819"/>
              <w:rPr>
                <w:rFonts w:eastAsia="Times New Roman"/>
              </w:rPr>
            </w:pPr>
            <w:r>
              <w:rPr>
                <w:rFonts w:eastAsia="Times New Roman"/>
                <w:color w:val="000000"/>
                <w:sz w:val="18"/>
                <w:szCs w:val="18"/>
              </w:rPr>
              <w:t xml:space="preserve">Treasury stock, at cost, 6,764,796 </w:t>
            </w:r>
            <w:r>
              <w:rPr>
                <w:rFonts w:eastAsia="Times New Roman"/>
                <w:color w:val="000000"/>
                <w:sz w:val="18"/>
                <w:szCs w:val="18"/>
              </w:rPr>
              <w:t>shares as of June 30, 2020 and December 31, 201</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(229,984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(229,984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stockholders' equit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240,007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258,974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01025635"/>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liabilities and stockholders' equit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683,619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723,695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center"/>
        <w:rPr>
          <w:rFonts w:eastAsia="Times New Roman"/>
        </w:rPr>
      </w:pPr>
      <w:r>
        <w:rPr>
          <w:rFonts w:eastAsia="Times New Roman"/>
          <w:color w:val="000000"/>
          <w:sz w:val="18"/>
          <w:szCs w:val="18"/>
        </w:rPr>
        <w:lastRenderedPageBreak/>
        <w:t>See accompanying Notes to Condensed Consolidated Financial Statements</w:t>
      </w:r>
      <w:r>
        <w:rPr>
          <w:rFonts w:eastAsia="Times New Roman"/>
          <w:color w:val="000000"/>
          <w:sz w:val="18"/>
          <w:szCs w:val="18"/>
        </w:rPr>
        <w:t>.</w:t>
      </w:r>
    </w:p>
    <w:p w:rsidR="00000000" w:rsidRDefault="007258AD">
      <w:pPr>
        <w:jc w:val="center"/>
        <w:divId w:val="961769185"/>
        <w:rPr>
          <w:rFonts w:eastAsia="Times New Roman"/>
        </w:rPr>
      </w:pPr>
      <w:r>
        <w:rPr>
          <w:rFonts w:eastAsia="Times New Roman"/>
          <w:color w:val="000000"/>
          <w:sz w:val="20"/>
          <w:szCs w:val="20"/>
        </w:rPr>
        <w:t>1</w:t>
      </w:r>
    </w:p>
    <w:p w:rsidR="00000000" w:rsidRDefault="007258AD">
      <w:pPr>
        <w:rPr>
          <w:rFonts w:eastAsia="Times New Roman"/>
        </w:rPr>
      </w:pPr>
      <w:r>
        <w:rPr>
          <w:rFonts w:eastAsia="Times New Roman"/>
        </w:rPr>
        <w:pict>
          <v:rect id="_x0000_i1028" style="width:0;height:1.5pt" o:hralign="center" o:hrstd="t" o:hr="t" fillcolor="#a0a0a0" stroked="f"/>
        </w:pict>
      </w:r>
    </w:p>
    <w:p w:rsidR="00000000" w:rsidRDefault="007258AD">
      <w:pPr>
        <w:jc w:val="both"/>
        <w:divId w:val="693768397"/>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693768397"/>
        <w:rPr>
          <w:rFonts w:eastAsia="Times New Roman"/>
        </w:rPr>
      </w:pPr>
    </w:p>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divId w:val="63334598"/>
        <w:rPr>
          <w:rFonts w:eastAsia="Times New Roman"/>
        </w:rPr>
      </w:pPr>
      <w:r>
        <w:rPr>
          <w:rFonts w:eastAsia="Times New Roman"/>
          <w:b/>
          <w:bCs/>
          <w:color w:val="000000"/>
          <w:sz w:val="20"/>
          <w:szCs w:val="20"/>
        </w:rPr>
        <w:t>CONDENSED CONSOLIDATED STATEMENTS OF OPERATIONS AND COMPREHENSIVE LOS</w:t>
      </w:r>
      <w:r>
        <w:rPr>
          <w:rFonts w:eastAsia="Times New Roman"/>
          <w:b/>
          <w:bCs/>
          <w:color w:val="000000"/>
          <w:sz w:val="20"/>
          <w:szCs w:val="20"/>
        </w:rPr>
        <w:t>S</w:t>
      </w:r>
    </w:p>
    <w:p w:rsidR="00000000" w:rsidRDefault="007258AD">
      <w:pPr>
        <w:jc w:val="center"/>
        <w:divId w:val="342825968"/>
        <w:rPr>
          <w:rFonts w:eastAsia="Times New Roman"/>
        </w:rPr>
      </w:pPr>
      <w:r>
        <w:rPr>
          <w:rFonts w:eastAsia="Times New Roman"/>
          <w:b/>
          <w:bCs/>
          <w:color w:val="000000"/>
          <w:sz w:val="16"/>
          <w:szCs w:val="16"/>
        </w:rPr>
        <w:t>(Unaudited</w:t>
      </w:r>
      <w:r>
        <w:rPr>
          <w:rFonts w:eastAsia="Times New Roman"/>
          <w:b/>
          <w:bCs/>
          <w:color w:val="000000"/>
          <w:sz w:val="16"/>
          <w:szCs w:val="16"/>
        </w:rPr>
        <w:t>)</w:t>
      </w:r>
    </w:p>
    <w:p w:rsidR="00000000" w:rsidRDefault="007258AD">
      <w:pPr>
        <w:jc w:val="center"/>
        <w:divId w:val="1504781255"/>
        <w:rPr>
          <w:rFonts w:eastAsia="Times New Roman"/>
        </w:rPr>
      </w:pPr>
      <w:r>
        <w:rPr>
          <w:rFonts w:eastAsia="Times New Roman"/>
          <w:b/>
          <w:bCs/>
          <w:color w:val="000000"/>
          <w:sz w:val="16"/>
          <w:szCs w:val="16"/>
        </w:rPr>
        <w:t>(In thousands, except share and per share data</w:t>
      </w:r>
      <w:r>
        <w:rPr>
          <w:rFonts w:eastAsia="Times New Roman"/>
          <w:b/>
          <w:bCs/>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17"/>
        <w:gridCol w:w="37"/>
        <w:gridCol w:w="37"/>
        <w:gridCol w:w="139"/>
        <w:gridCol w:w="37"/>
        <w:gridCol w:w="37"/>
        <w:gridCol w:w="37"/>
        <w:gridCol w:w="37"/>
        <w:gridCol w:w="37"/>
        <w:gridCol w:w="140"/>
        <w:gridCol w:w="37"/>
        <w:gridCol w:w="37"/>
        <w:gridCol w:w="37"/>
        <w:gridCol w:w="37"/>
        <w:gridCol w:w="37"/>
        <w:gridCol w:w="140"/>
        <w:gridCol w:w="37"/>
        <w:gridCol w:w="37"/>
        <w:gridCol w:w="37"/>
        <w:gridCol w:w="37"/>
        <w:gridCol w:w="37"/>
        <w:gridCol w:w="140"/>
        <w:gridCol w:w="37"/>
        <w:gridCol w:w="36"/>
        <w:gridCol w:w="36"/>
        <w:gridCol w:w="36"/>
        <w:gridCol w:w="36"/>
        <w:gridCol w:w="430"/>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145"/>
        <w:gridCol w:w="730"/>
        <w:gridCol w:w="80"/>
        <w:gridCol w:w="36"/>
        <w:gridCol w:w="36"/>
        <w:gridCol w:w="36"/>
        <w:gridCol w:w="131"/>
        <w:gridCol w:w="744"/>
        <w:gridCol w:w="80"/>
        <w:gridCol w:w="36"/>
        <w:gridCol w:w="36"/>
        <w:gridCol w:w="36"/>
        <w:gridCol w:w="142"/>
        <w:gridCol w:w="733"/>
        <w:gridCol w:w="980"/>
      </w:tblGrid>
      <w:tr w:rsidR="00000000">
        <w:trPr>
          <w:gridAfter w:val="15"/>
          <w:divId w:val="1336768540"/>
          <w:jc w:val="center"/>
        </w:trPr>
        <w:tc>
          <w:tcPr>
            <w:tcW w:w="50" w:type="pct"/>
            <w:vAlign w:val="center"/>
            <w:hideMark/>
          </w:tcPr>
          <w:p w:rsidR="00000000" w:rsidRDefault="007258AD">
            <w:pPr>
              <w:jc w:val="center"/>
              <w:rPr>
                <w:rFonts w:eastAsia="Times New Roman"/>
              </w:rPr>
            </w:pPr>
          </w:p>
        </w:tc>
        <w:tc>
          <w:tcPr>
            <w:tcW w:w="76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2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2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2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2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6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336768540"/>
          <w:jc w:val="center"/>
        </w:trPr>
        <w:tc>
          <w:tcPr>
            <w:tcW w:w="0" w:type="auto"/>
            <w:gridSpan w:val="24"/>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2"/>
            <w:vAlign w:val="center"/>
            <w:hideMark/>
          </w:tcPr>
          <w:p w:rsidR="00000000" w:rsidRDefault="007258AD">
            <w:pPr>
              <w:rPr>
                <w:rFonts w:eastAsia="Times New Roman"/>
                <w:sz w:val="20"/>
                <w:szCs w:val="20"/>
              </w:rPr>
            </w:pPr>
          </w:p>
        </w:tc>
        <w:tc>
          <w:tcPr>
            <w:tcW w:w="0" w:type="auto"/>
            <w:tcMar>
              <w:top w:w="15" w:type="dxa"/>
              <w:left w:w="20" w:type="dxa"/>
              <w:bottom w:w="15" w:type="dxa"/>
              <w:right w:w="20" w:type="dxa"/>
            </w:tcMar>
            <w:vAlign w:val="bottom"/>
            <w:hideMark/>
          </w:tcPr>
          <w:p w:rsidR="00000000" w:rsidRDefault="007258AD">
            <w:pPr>
              <w:rPr>
                <w:rFonts w:eastAsia="Times New Roman"/>
                <w:sz w:val="20"/>
                <w:szCs w:val="20"/>
              </w:rPr>
            </w:pPr>
            <w:r>
              <w:rPr>
                <w:rFonts w:eastAsia="Times New Roman"/>
                <w:b/>
                <w:bCs/>
                <w:color w:val="000000"/>
                <w:sz w:val="16"/>
                <w:szCs w:val="16"/>
              </w:rPr>
              <w:t>Six Months Ended June 30</w:t>
            </w:r>
            <w:r>
              <w:rPr>
                <w:rFonts w:eastAsia="Times New Roman"/>
                <w:b/>
                <w:bCs/>
                <w:color w:val="000000"/>
                <w:sz w:val="16"/>
                <w:szCs w:val="16"/>
              </w:rPr>
              <w:t>,</w:t>
            </w:r>
          </w:p>
        </w:tc>
      </w:tr>
      <w:tr w:rsidR="00000000">
        <w:trPr>
          <w:divId w:val="1336768540"/>
          <w:jc w:val="center"/>
        </w:trPr>
        <w:tc>
          <w:tcPr>
            <w:tcW w:w="0" w:type="auto"/>
            <w:gridSpan w:val="24"/>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divId w:val="491994521"/>
              <w:rPr>
                <w:rFonts w:eastAsia="Times New Roman"/>
              </w:rPr>
            </w:pPr>
            <w:r>
              <w:rPr>
                <w:rFonts w:eastAsia="Times New Roman"/>
                <w:color w:val="000000"/>
                <w:sz w:val="18"/>
                <w:szCs w:val="18"/>
              </w:rPr>
              <w:t>Revenues</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199,182</w:t>
            </w:r>
            <w:r>
              <w:rPr>
                <w:rFonts w:eastAsia="Times New Roman"/>
                <w:color w:val="000000"/>
                <w:sz w:val="18"/>
                <w:szCs w:val="18"/>
              </w:rPr>
              <w:t> </w:t>
            </w:r>
            <w:r>
              <w:rPr>
                <w:rFonts w:eastAsia="Times New Roman"/>
                <w:color w:val="000000"/>
                <w:sz w:val="18"/>
                <w:szCs w:val="18"/>
              </w:rPr>
              <w:t> </w:t>
            </w:r>
          </w:p>
        </w:tc>
      </w:tr>
      <w:tr w:rsidR="00000000">
        <w:trPr>
          <w:divId w:val="1336768540"/>
          <w:trHeight w:val="240"/>
          <w:jc w:val="center"/>
        </w:trPr>
        <w:tc>
          <w:tcPr>
            <w:tcW w:w="0" w:type="auto"/>
            <w:gridSpan w:val="24"/>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divId w:val="664749950"/>
              <w:rPr>
                <w:rFonts w:eastAsia="Times New Roman"/>
              </w:rPr>
            </w:pPr>
            <w:r>
              <w:rPr>
                <w:rFonts w:eastAsia="Times New Roman"/>
                <w:color w:val="000000"/>
                <w:sz w:val="18"/>
                <w:szCs w:val="18"/>
              </w:rPr>
              <w:t>Cost of revenue</w:t>
            </w:r>
            <w:r>
              <w:rPr>
                <w:rFonts w:eastAsia="Times New Roman"/>
                <w:color w:val="000000"/>
                <w:sz w:val="18"/>
                <w:szCs w:val="18"/>
              </w:rPr>
              <w:t>s</w:t>
            </w:r>
            <w:r>
              <w:rPr>
                <w:rFonts w:eastAsia="Times New Roman"/>
                <w:i/>
                <w:iCs/>
                <w:color w:val="000000"/>
                <w:sz w:val="18"/>
                <w:szCs w:val="18"/>
              </w:rPr>
              <w:t xml:space="preserve"> </w:t>
            </w:r>
            <w:r>
              <w:rPr>
                <w:rFonts w:eastAsia="Times New Roman"/>
                <w:i/>
                <w:iCs/>
                <w:color w:val="000000"/>
                <w:sz w:val="12"/>
                <w:szCs w:val="12"/>
                <w:vertAlign w:val="superscript"/>
              </w:rPr>
              <w:t>(1) (2) (3) (4)</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44,949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51,994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90,747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105,401</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divId w:val="1467970222"/>
              <w:rPr>
                <w:rFonts w:eastAsia="Times New Roman"/>
              </w:rPr>
            </w:pPr>
            <w:r>
              <w:rPr>
                <w:rFonts w:eastAsia="Times New Roman"/>
                <w:color w:val="000000"/>
                <w:sz w:val="18"/>
                <w:szCs w:val="18"/>
              </w:rPr>
              <w:t>Selling and marketing</w:t>
            </w:r>
            <w:r>
              <w:rPr>
                <w:rFonts w:eastAsia="Times New Roman"/>
                <w:color w:val="000000"/>
                <w:sz w:val="18"/>
                <w:szCs w:val="18"/>
              </w:rPr>
              <w:t xml:space="preserve"> </w:t>
            </w:r>
            <w:r>
              <w:rPr>
                <w:rFonts w:eastAsia="Times New Roman"/>
                <w:i/>
                <w:iCs/>
                <w:color w:val="000000"/>
                <w:sz w:val="12"/>
                <w:szCs w:val="12"/>
                <w:vertAlign w:val="superscript"/>
              </w:rPr>
              <w:t>(2) (3) (4)</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23,329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35,220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48,169</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divId w:val="685640649"/>
              <w:rPr>
                <w:rFonts w:eastAsia="Times New Roman"/>
              </w:rPr>
            </w:pPr>
            <w:r>
              <w:rPr>
                <w:rFonts w:eastAsia="Times New Roman"/>
                <w:color w:val="000000"/>
                <w:sz w:val="18"/>
                <w:szCs w:val="18"/>
              </w:rPr>
              <w:t>Research and developmen</w:t>
            </w:r>
            <w:r>
              <w:rPr>
                <w:rFonts w:eastAsia="Times New Roman"/>
                <w:color w:val="000000"/>
                <w:sz w:val="18"/>
                <w:szCs w:val="18"/>
              </w:rPr>
              <w:t>t</w:t>
            </w:r>
            <w:r>
              <w:rPr>
                <w:rFonts w:eastAsia="Times New Roman"/>
                <w:i/>
                <w:iCs/>
                <w:color w:val="000000"/>
                <w:sz w:val="12"/>
                <w:szCs w:val="12"/>
                <w:vertAlign w:val="superscript"/>
              </w:rPr>
              <w:t xml:space="preserve"> (2) (3) (4)</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9,765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35,099</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divId w:val="577054372"/>
              <w:rPr>
                <w:rFonts w:eastAsia="Times New Roman"/>
              </w:rPr>
            </w:pPr>
            <w:r>
              <w:rPr>
                <w:rFonts w:eastAsia="Times New Roman"/>
                <w:color w:val="000000"/>
                <w:sz w:val="18"/>
                <w:szCs w:val="18"/>
              </w:rPr>
              <w:t>General and administrativ</w:t>
            </w:r>
            <w:r>
              <w:rPr>
                <w:rFonts w:eastAsia="Times New Roman"/>
                <w:color w:val="000000"/>
                <w:sz w:val="18"/>
                <w:szCs w:val="18"/>
              </w:rPr>
              <w:t>e</w:t>
            </w:r>
            <w:r>
              <w:rPr>
                <w:rFonts w:eastAsia="Times New Roman"/>
                <w:i/>
                <w:iCs/>
                <w:color w:val="000000"/>
                <w:sz w:val="18"/>
                <w:szCs w:val="18"/>
              </w:rPr>
              <w:t xml:space="preserve"> </w:t>
            </w:r>
            <w:r>
              <w:rPr>
                <w:rFonts w:eastAsia="Times New Roman"/>
                <w:i/>
                <w:iCs/>
                <w:color w:val="000000"/>
                <w:sz w:val="12"/>
                <w:szCs w:val="12"/>
                <w:vertAlign w:val="superscript"/>
              </w:rPr>
              <w:t>(1) (2) (3) (4)</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29,284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36,477</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Investigation and audit related</w:t>
            </w:r>
            <w:r>
              <w:rPr>
                <w:rFonts w:eastAsia="Times New Roman"/>
                <w:color w:val="000000"/>
                <w:sz w:val="18"/>
                <w:szCs w:val="18"/>
              </w:rPr>
              <w:t xml:space="preserve"> </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3,196</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intangible asset</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16,181</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goodwil</w:t>
            </w:r>
            <w:r>
              <w:rPr>
                <w:rFonts w:eastAsia="Times New Roman"/>
                <w:color w:val="000000"/>
                <w:sz w:val="18"/>
                <w:szCs w:val="18"/>
              </w:rPr>
              <w:t>l</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224,272</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intangible asse</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17,308</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Settlement of litigation, ne</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5,000</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right-of-use and long-lived asset</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divId w:val="1750106106"/>
              <w:rPr>
                <w:rFonts w:eastAsia="Times New Roman"/>
              </w:rPr>
            </w:pPr>
            <w:r>
              <w:rPr>
                <w:rFonts w:eastAsia="Times New Roman"/>
                <w:color w:val="000000"/>
                <w:sz w:val="18"/>
                <w:szCs w:val="18"/>
              </w:rPr>
              <w:t>Restructuring</w:t>
            </w:r>
            <w:r>
              <w:rPr>
                <w:rFonts w:eastAsia="Times New Roman"/>
                <w:color w:val="000000"/>
                <w:sz w:val="18"/>
                <w:szCs w:val="18"/>
              </w:rPr>
              <w:t xml:space="preserve"> </w:t>
            </w:r>
            <w:r>
              <w:rPr>
                <w:rFonts w:eastAsia="Times New Roman"/>
                <w:i/>
                <w:iCs/>
                <w:color w:val="000000"/>
                <w:sz w:val="12"/>
                <w:szCs w:val="12"/>
                <w:vertAlign w:val="superscript"/>
              </w:rPr>
              <w:t>(3)</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2,879</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expenses from operation</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91,308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369,097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193,587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493,982</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from operation</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(2,742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(272,209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(15,493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294,800</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divId w:val="1502158574"/>
              <w:rPr>
                <w:rFonts w:eastAsia="Times New Roman"/>
              </w:rPr>
            </w:pPr>
            <w:r>
              <w:rPr>
                <w:rFonts w:eastAsia="Times New Roman"/>
                <w:color w:val="000000"/>
                <w:sz w:val="18"/>
                <w:szCs w:val="18"/>
              </w:rPr>
              <w:t>Interest expense, ne</w:t>
            </w:r>
            <w:r>
              <w:rPr>
                <w:rFonts w:eastAsia="Times New Roman"/>
                <w:color w:val="000000"/>
                <w:sz w:val="18"/>
                <w:szCs w:val="18"/>
              </w:rPr>
              <w:t>t</w:t>
            </w:r>
            <w:r>
              <w:rPr>
                <w:rFonts w:eastAsia="Times New Roman"/>
                <w:i/>
                <w:iCs/>
                <w:color w:val="000000"/>
                <w:sz w:val="18"/>
                <w:szCs w:val="18"/>
              </w:rPr>
              <w:t xml:space="preserve"> </w:t>
            </w:r>
            <w:r>
              <w:rPr>
                <w:rFonts w:eastAsia="Times New Roman"/>
                <w:i/>
                <w:iCs/>
                <w:color w:val="000000"/>
                <w:sz w:val="12"/>
                <w:szCs w:val="12"/>
                <w:vertAlign w:val="superscript"/>
              </w:rPr>
              <w:t>(1)</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(17,702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(15,001</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 income (expense), ne</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8,671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(112</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from foreign currency transaction</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(944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(426</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before income taxe</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(11,065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(283,996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(24,664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310,339</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Income tax benefi</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3,292</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(10,401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(279,533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(23,585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(307,047</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loss per common share</w:t>
            </w:r>
            <w:r>
              <w:rPr>
                <w:rFonts w:eastAsia="Times New Roman"/>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Basic and dilute</w:t>
            </w:r>
            <w:r>
              <w:rPr>
                <w:rFonts w:eastAsia="Times New Roman"/>
                <w:color w:val="000000"/>
                <w:sz w:val="18"/>
                <w:szCs w:val="18"/>
              </w:rPr>
              <w:t>d</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(0.15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(5.09</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Weighted-average number of shares used in per share calculation - Common Stock</w:t>
            </w:r>
            <w:r>
              <w:rPr>
                <w:rFonts w:eastAsia="Times New Roman"/>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Basic and dilute</w:t>
            </w:r>
            <w:r>
              <w:rPr>
                <w:rFonts w:eastAsia="Times New Roman"/>
                <w:color w:val="000000"/>
                <w:sz w:val="18"/>
                <w:szCs w:val="18"/>
              </w:rPr>
              <w:t>d</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70,554,326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60,697,608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70,340,658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60,315,528</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Comprehensive loss</w:t>
            </w:r>
            <w:r>
              <w:rPr>
                <w:rFonts w:eastAsia="Times New Roman"/>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10,401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(279,533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(307,047</w:t>
            </w:r>
            <w:r>
              <w:rPr>
                <w:rFonts w:eastAsia="Times New Roman"/>
                <w:color w:val="000000"/>
                <w:sz w:val="18"/>
                <w:szCs w:val="18"/>
              </w:rPr>
              <w:t>)</w:t>
            </w:r>
            <w:r>
              <w:rPr>
                <w:rFonts w:eastAsia="Times New Roman"/>
                <w:color w:val="000000"/>
                <w:sz w:val="18"/>
                <w:szCs w:val="18"/>
              </w:rPr>
              <w:t> </w:t>
            </w: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lastRenderedPageBreak/>
              <w:t>Other comprehensive loss</w:t>
            </w:r>
            <w:r>
              <w:rPr>
                <w:rFonts w:eastAsia="Times New Roman"/>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Foreign currency cumulative translation adjustmen</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56</w:t>
            </w:r>
            <w:r>
              <w:rPr>
                <w:rFonts w:eastAsia="Times New Roman"/>
                <w:color w:val="000000"/>
                <w:sz w:val="18"/>
                <w:szCs w:val="18"/>
              </w:rPr>
              <w:t> </w:t>
            </w:r>
            <w:r>
              <w:rPr>
                <w:rFonts w:eastAsia="Times New Roman"/>
                <w:color w:val="000000"/>
                <w:sz w:val="18"/>
                <w:szCs w:val="18"/>
              </w:rPr>
              <w:t> </w:t>
            </w:r>
          </w:p>
        </w:tc>
      </w:tr>
      <w:tr w:rsidR="00000000">
        <w:trPr>
          <w:divId w:val="133676854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24"/>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comprehensive los</w:t>
            </w:r>
            <w:r>
              <w:rPr>
                <w:rFonts w:eastAsia="Times New Roman"/>
                <w:color w:val="000000"/>
                <w:sz w:val="18"/>
                <w:szCs w:val="18"/>
              </w:rPr>
              <w:t>s</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(8,837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(278,856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(24,894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(306,991</w:t>
            </w:r>
            <w:r>
              <w:rPr>
                <w:rFonts w:eastAsia="Times New Roman"/>
                <w:color w:val="000000"/>
                <w:sz w:val="18"/>
                <w:szCs w:val="18"/>
              </w:rPr>
              <w:t>)</w:t>
            </w:r>
            <w:r>
              <w:rPr>
                <w:rFonts w:eastAsia="Times New Roman"/>
                <w:color w:val="000000"/>
                <w:sz w:val="18"/>
                <w:szCs w:val="18"/>
              </w:rPr>
              <w:t> </w:t>
            </w:r>
          </w:p>
        </w:tc>
      </w:tr>
      <w:tr w:rsidR="00000000">
        <w:trPr>
          <w:divId w:val="1336768540"/>
          <w:trHeight w:val="60"/>
          <w:jc w:val="center"/>
        </w:trPr>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48"/>
            <w:shd w:val="clear" w:color="auto" w:fill="FFFFFF"/>
            <w:tcMar>
              <w:top w:w="30" w:type="dxa"/>
              <w:left w:w="20" w:type="dxa"/>
              <w:bottom w:w="30" w:type="dxa"/>
              <w:right w:w="20" w:type="dxa"/>
            </w:tcMar>
            <w:vAlign w:val="bottom"/>
            <w:hideMark/>
          </w:tcPr>
          <w:p w:rsidR="00000000" w:rsidRDefault="007258AD">
            <w:pPr>
              <w:divId w:val="271057820"/>
              <w:rPr>
                <w:rFonts w:eastAsia="Times New Roman"/>
              </w:rPr>
            </w:pPr>
            <w:r>
              <w:rPr>
                <w:rFonts w:eastAsia="Times New Roman"/>
                <w:i/>
                <w:iCs/>
                <w:color w:val="000000"/>
                <w:sz w:val="18"/>
                <w:szCs w:val="18"/>
              </w:rPr>
              <w:t>(1) Transactions with related parties are included in the line items above (refer to</w:t>
            </w:r>
            <w:r>
              <w:rPr>
                <w:rFonts w:eastAsia="Times New Roman"/>
                <w:i/>
                <w:iCs/>
                <w:color w:val="000000"/>
                <w:sz w:val="18"/>
                <w:szCs w:val="18"/>
              </w:rPr>
              <w:t> </w:t>
            </w:r>
            <w:hyperlink w:anchor="if3309f2850e6489fbcf3fb9276fba379_85" w:history="1">
              <w:r>
                <w:rPr>
                  <w:rStyle w:val="a3"/>
                  <w:rFonts w:eastAsia="Times New Roman"/>
                  <w:i/>
                  <w:iCs/>
                  <w:sz w:val="18"/>
                  <w:szCs w:val="18"/>
                </w:rPr>
                <w:t>Footnote 8</w:t>
              </w:r>
            </w:hyperlink>
            <w:r>
              <w:rPr>
                <w:rFonts w:eastAsia="Times New Roman"/>
                <w:i/>
                <w:iCs/>
                <w:color w:val="000000"/>
                <w:sz w:val="18"/>
                <w:szCs w:val="18"/>
              </w:rPr>
              <w:t>, Related Party Transactions, of the Notes to Condensed Consolidated Financial Statements for addition</w:t>
            </w:r>
            <w:r>
              <w:rPr>
                <w:rFonts w:eastAsia="Times New Roman"/>
                <w:i/>
                <w:iCs/>
                <w:color w:val="000000"/>
                <w:sz w:val="18"/>
                <w:szCs w:val="18"/>
              </w:rPr>
              <w:t>al information).</w:t>
            </w:r>
            <w:r>
              <w:rPr>
                <w:rFonts w:eastAsia="Times New Roman"/>
                <w:i/>
                <w:iCs/>
                <w:color w:val="000000"/>
                <w:sz w:val="18"/>
                <w:szCs w:val="18"/>
              </w:rPr>
              <w:t xml:space="preserve"> </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trHeight w:val="60"/>
          <w:jc w:val="center"/>
        </w:trPr>
        <w:tc>
          <w:tcPr>
            <w:tcW w:w="0" w:type="auto"/>
            <w:gridSpan w:val="48"/>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36768540"/>
          <w:jc w:val="center"/>
        </w:trPr>
        <w:tc>
          <w:tcPr>
            <w:tcW w:w="0" w:type="auto"/>
            <w:gridSpan w:val="48"/>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8"/>
                <w:szCs w:val="18"/>
              </w:rPr>
              <w:t>(2) Excludes amortization of intangible assets, which is presented as a separate line item</w:t>
            </w:r>
            <w:r>
              <w:rPr>
                <w:rFonts w:eastAsia="Times New Roman"/>
                <w:i/>
                <w:iCs/>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097"/>
        <w:gridCol w:w="39"/>
        <w:gridCol w:w="36"/>
        <w:gridCol w:w="36"/>
        <w:gridCol w:w="36"/>
        <w:gridCol w:w="125"/>
        <w:gridCol w:w="728"/>
        <w:gridCol w:w="80"/>
        <w:gridCol w:w="36"/>
        <w:gridCol w:w="36"/>
        <w:gridCol w:w="36"/>
        <w:gridCol w:w="125"/>
        <w:gridCol w:w="762"/>
        <w:gridCol w:w="80"/>
        <w:gridCol w:w="36"/>
        <w:gridCol w:w="36"/>
        <w:gridCol w:w="36"/>
        <w:gridCol w:w="125"/>
        <w:gridCol w:w="762"/>
        <w:gridCol w:w="80"/>
        <w:gridCol w:w="36"/>
        <w:gridCol w:w="36"/>
        <w:gridCol w:w="36"/>
        <w:gridCol w:w="125"/>
        <w:gridCol w:w="762"/>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jc w:val="center"/>
        </w:trPr>
        <w:tc>
          <w:tcPr>
            <w:tcW w:w="50" w:type="pct"/>
            <w:vAlign w:val="center"/>
            <w:hideMark/>
          </w:tcPr>
          <w:p w:rsidR="00000000" w:rsidRDefault="007258AD">
            <w:pPr>
              <w:jc w:val="center"/>
              <w:rPr>
                <w:rFonts w:eastAsia="Times New Roman"/>
              </w:rPr>
            </w:pPr>
          </w:p>
        </w:tc>
        <w:tc>
          <w:tcPr>
            <w:tcW w:w="21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jc w:val="center"/>
        </w:trPr>
        <w:tc>
          <w:tcPr>
            <w:tcW w:w="0" w:type="auto"/>
            <w:gridSpan w:val="27"/>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8"/>
                <w:szCs w:val="18"/>
              </w:rPr>
              <w:t>(3) Stock-based compensation expense is included in the line items above as follows</w:t>
            </w:r>
            <w:r>
              <w:rPr>
                <w:rFonts w:eastAsia="Times New Roman"/>
                <w:i/>
                <w:iCs/>
                <w:color w:val="000000"/>
                <w:sz w:val="18"/>
                <w:szCs w:val="18"/>
              </w:rPr>
              <w:t>:</w:t>
            </w:r>
          </w:p>
        </w:tc>
        <w:tc>
          <w:tcPr>
            <w:tcW w:w="0" w:type="auto"/>
            <w:gridSpan w:val="3"/>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1,484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Selling and marketin</w:t>
            </w:r>
            <w:r>
              <w:rPr>
                <w:rFonts w:eastAsia="Times New Roman"/>
                <w:color w:val="000000"/>
                <w:sz w:val="18"/>
                <w:szCs w:val="18"/>
              </w:rPr>
              <w:t>g</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1,329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2,403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General and administrativ</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764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1,913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2,548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5,976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Restructurin</w:t>
            </w:r>
            <w:r>
              <w:rPr>
                <w:rFonts w:eastAsia="Times New Roman"/>
                <w:color w:val="000000"/>
                <w:sz w:val="18"/>
                <w:szCs w:val="18"/>
              </w:rPr>
              <w:t>g</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stock-based compensation expens</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4,038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10,991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rPr>
          <w:rFonts w:eastAsia="Times New Roman"/>
        </w:rPr>
      </w:pPr>
    </w:p>
    <w:p w:rsidR="00000000" w:rsidRDefault="007258AD">
      <w:pPr>
        <w:jc w:val="center"/>
        <w:rPr>
          <w:rFonts w:eastAsia="Times New Roman"/>
        </w:rPr>
      </w:pPr>
    </w:p>
    <w:p w:rsidR="00000000" w:rsidRDefault="007258AD">
      <w:pPr>
        <w:jc w:val="center"/>
        <w:rPr>
          <w:rFonts w:eastAsia="Times New Roman"/>
        </w:rPr>
      </w:pPr>
    </w:p>
    <w:p w:rsidR="00000000" w:rsidRDefault="007258AD">
      <w:pPr>
        <w:jc w:val="center"/>
        <w:rPr>
          <w:rFonts w:eastAsia="Times New Roman"/>
        </w:rPr>
      </w:pPr>
    </w:p>
    <w:p w:rsidR="00000000" w:rsidRDefault="007258AD">
      <w:pPr>
        <w:jc w:val="center"/>
        <w:rPr>
          <w:rFonts w:eastAsia="Times New Roman"/>
        </w:rPr>
      </w:pPr>
    </w:p>
    <w:p w:rsidR="00000000" w:rsidRDefault="007258AD">
      <w:pPr>
        <w:jc w:val="center"/>
        <w:rPr>
          <w:rFonts w:eastAsia="Times New Roman"/>
        </w:rPr>
      </w:pPr>
    </w:p>
    <w:p w:rsidR="00000000" w:rsidRDefault="007258AD">
      <w:pPr>
        <w:jc w:val="center"/>
        <w:divId w:val="1669213495"/>
        <w:rPr>
          <w:rFonts w:eastAsia="Times New Roman"/>
        </w:rPr>
      </w:pPr>
      <w:r>
        <w:rPr>
          <w:rFonts w:eastAsia="Times New Roman"/>
          <w:color w:val="000000"/>
          <w:sz w:val="20"/>
          <w:szCs w:val="20"/>
        </w:rPr>
        <w:t>2</w:t>
      </w:r>
    </w:p>
    <w:p w:rsidR="00000000" w:rsidRDefault="007258AD">
      <w:pPr>
        <w:rPr>
          <w:rFonts w:eastAsia="Times New Roman"/>
        </w:rPr>
      </w:pPr>
      <w:r>
        <w:rPr>
          <w:rFonts w:eastAsia="Times New Roman"/>
        </w:rPr>
        <w:pict>
          <v:rect id="_x0000_i1029" style="width:0;height:1.5pt" o:hralign="center" o:hrstd="t" o:hr="t" fillcolor="#a0a0a0" stroked="f"/>
        </w:pict>
      </w:r>
    </w:p>
    <w:p w:rsidR="00000000" w:rsidRDefault="007258AD">
      <w:pPr>
        <w:jc w:val="both"/>
        <w:divId w:val="330498279"/>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330498279"/>
        <w:rPr>
          <w:rFonts w:eastAsia="Times New Roman"/>
        </w:rPr>
      </w:pPr>
    </w:p>
    <w:p w:rsidR="00000000" w:rsidRDefault="007258AD">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98"/>
        <w:gridCol w:w="38"/>
        <w:gridCol w:w="36"/>
        <w:gridCol w:w="36"/>
        <w:gridCol w:w="36"/>
        <w:gridCol w:w="125"/>
        <w:gridCol w:w="729"/>
        <w:gridCol w:w="80"/>
        <w:gridCol w:w="36"/>
        <w:gridCol w:w="36"/>
        <w:gridCol w:w="36"/>
        <w:gridCol w:w="125"/>
        <w:gridCol w:w="762"/>
        <w:gridCol w:w="80"/>
        <w:gridCol w:w="36"/>
        <w:gridCol w:w="36"/>
        <w:gridCol w:w="36"/>
        <w:gridCol w:w="125"/>
        <w:gridCol w:w="762"/>
        <w:gridCol w:w="80"/>
        <w:gridCol w:w="36"/>
        <w:gridCol w:w="36"/>
        <w:gridCol w:w="36"/>
        <w:gridCol w:w="125"/>
        <w:gridCol w:w="762"/>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35089207"/>
          <w:jc w:val="center"/>
        </w:trPr>
        <w:tc>
          <w:tcPr>
            <w:tcW w:w="50" w:type="pct"/>
            <w:vAlign w:val="center"/>
            <w:hideMark/>
          </w:tcPr>
          <w:p w:rsidR="00000000" w:rsidRDefault="007258AD">
            <w:pPr>
              <w:jc w:val="center"/>
              <w:rPr>
                <w:rFonts w:eastAsia="Times New Roman"/>
              </w:rPr>
            </w:pPr>
          </w:p>
        </w:tc>
        <w:tc>
          <w:tcPr>
            <w:tcW w:w="21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35089207"/>
          <w:jc w:val="center"/>
        </w:trPr>
        <w:tc>
          <w:tcPr>
            <w:tcW w:w="0" w:type="auto"/>
            <w:gridSpan w:val="27"/>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8"/>
                <w:szCs w:val="18"/>
              </w:rPr>
              <w:t>(4) Lease cost, net of sublease income, is included in the line items above as follows</w:t>
            </w:r>
            <w:r>
              <w:rPr>
                <w:rFonts w:eastAsia="Times New Roman"/>
                <w:i/>
                <w:iCs/>
                <w:color w:val="000000"/>
                <w:sz w:val="18"/>
                <w:szCs w:val="18"/>
              </w:rPr>
              <w:t>:</w:t>
            </w:r>
          </w:p>
        </w:tc>
        <w:tc>
          <w:tcPr>
            <w:tcW w:w="0" w:type="auto"/>
            <w:gridSpan w:val="3"/>
            <w:vAlign w:val="center"/>
            <w:hideMark/>
          </w:tcPr>
          <w:p w:rsidR="00000000" w:rsidRDefault="007258AD">
            <w:pPr>
              <w:jc w:val="both"/>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35089207"/>
          <w:trHeight w:val="6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jc w:val="cente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Operating lease cos</w:t>
            </w:r>
            <w:r>
              <w:rPr>
                <w:rFonts w:eastAsia="Times New Roman"/>
                <w:b/>
                <w:bCs/>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Selling and marketin</w:t>
            </w:r>
            <w:r>
              <w:rPr>
                <w:rFonts w:eastAsia="Times New Roman"/>
                <w:color w:val="000000"/>
                <w:sz w:val="18"/>
                <w:szCs w:val="18"/>
              </w:rPr>
              <w:t>g</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General and administrativ</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operating lease cos</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3,213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3,499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6,487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6,892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Amortization of right-of-use asset</w:t>
            </w:r>
            <w:r>
              <w:rPr>
                <w:rFonts w:eastAsia="Times New Roman"/>
                <w:b/>
                <w:bCs/>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Selling and marketin</w:t>
            </w:r>
            <w:r>
              <w:rPr>
                <w:rFonts w:eastAsia="Times New Roman"/>
                <w:color w:val="000000"/>
                <w:sz w:val="18"/>
                <w:szCs w:val="18"/>
              </w:rPr>
              <w:t>g</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General and administrativ</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50892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amortization of right-of-use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rPr>
          <w:rFonts w:eastAsia="Times New Roman"/>
        </w:rPr>
      </w:pPr>
      <w:r>
        <w:rPr>
          <w:rFonts w:eastAsia="Times New Roman"/>
          <w:color w:val="000000"/>
          <w:sz w:val="18"/>
          <w:szCs w:val="18"/>
        </w:rPr>
        <w:t>See accompanying Notes to</w:t>
      </w:r>
      <w:r>
        <w:rPr>
          <w:rFonts w:eastAsia="Times New Roman"/>
          <w:color w:val="000000"/>
          <w:sz w:val="18"/>
          <w:szCs w:val="18"/>
        </w:rPr>
        <w:t xml:space="preserve"> Condensed Consolidated Financial Statements.</w:t>
      </w:r>
      <w:r>
        <w:rPr>
          <w:rFonts w:eastAsia="Times New Roman"/>
          <w:color w:val="000000"/>
          <w:sz w:val="18"/>
          <w:szCs w:val="18"/>
        </w:rPr>
        <w:t xml:space="preserve"> </w:t>
      </w:r>
    </w:p>
    <w:p w:rsidR="00000000" w:rsidRDefault="007258AD">
      <w:pPr>
        <w:jc w:val="center"/>
        <w:divId w:val="967902445"/>
        <w:rPr>
          <w:rFonts w:eastAsia="Times New Roman"/>
        </w:rPr>
      </w:pPr>
      <w:r>
        <w:rPr>
          <w:rFonts w:eastAsia="Times New Roman"/>
          <w:color w:val="000000"/>
          <w:sz w:val="20"/>
          <w:szCs w:val="20"/>
        </w:rPr>
        <w:t>3</w:t>
      </w:r>
    </w:p>
    <w:p w:rsidR="00000000" w:rsidRDefault="007258AD">
      <w:pPr>
        <w:rPr>
          <w:rFonts w:eastAsia="Times New Roman"/>
        </w:rPr>
      </w:pPr>
      <w:r>
        <w:rPr>
          <w:rFonts w:eastAsia="Times New Roman"/>
        </w:rPr>
        <w:pict>
          <v:rect id="_x0000_i1030" style="width:0;height:1.5pt" o:hralign="center" o:hrstd="t" o:hr="t" fillcolor="#a0a0a0" stroked="f"/>
        </w:pict>
      </w:r>
    </w:p>
    <w:p w:rsidR="00000000" w:rsidRDefault="007258AD">
      <w:pPr>
        <w:jc w:val="both"/>
        <w:divId w:val="443310718"/>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443310718"/>
        <w:rPr>
          <w:rFonts w:eastAsia="Times New Roman"/>
        </w:rPr>
      </w:pPr>
    </w:p>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divId w:val="469130338"/>
        <w:rPr>
          <w:rFonts w:eastAsia="Times New Roman"/>
        </w:rPr>
      </w:pPr>
      <w:r>
        <w:rPr>
          <w:rFonts w:eastAsia="Times New Roman"/>
          <w:b/>
          <w:bCs/>
          <w:color w:val="000000"/>
          <w:sz w:val="20"/>
          <w:szCs w:val="20"/>
        </w:rPr>
        <w:t>CONDENSED CONSOLIDATED STATEMENTS OF STOCKHOLDERS' EQUIT</w:t>
      </w:r>
      <w:r>
        <w:rPr>
          <w:rFonts w:eastAsia="Times New Roman"/>
          <w:b/>
          <w:bCs/>
          <w:color w:val="000000"/>
          <w:sz w:val="20"/>
          <w:szCs w:val="20"/>
        </w:rPr>
        <w:t>Y</w:t>
      </w:r>
    </w:p>
    <w:p w:rsidR="00000000" w:rsidRDefault="007258AD">
      <w:pPr>
        <w:jc w:val="center"/>
        <w:divId w:val="1068647473"/>
        <w:rPr>
          <w:rFonts w:eastAsia="Times New Roman"/>
        </w:rPr>
      </w:pPr>
      <w:r>
        <w:rPr>
          <w:rFonts w:eastAsia="Times New Roman"/>
          <w:b/>
          <w:bCs/>
          <w:color w:val="000000"/>
          <w:sz w:val="16"/>
          <w:szCs w:val="16"/>
        </w:rPr>
        <w:t>(Unaudited</w:t>
      </w:r>
      <w:r>
        <w:rPr>
          <w:rFonts w:eastAsia="Times New Roman"/>
          <w:b/>
          <w:bCs/>
          <w:color w:val="000000"/>
          <w:sz w:val="16"/>
          <w:szCs w:val="16"/>
        </w:rPr>
        <w:t>)</w:t>
      </w:r>
    </w:p>
    <w:p w:rsidR="00000000" w:rsidRDefault="007258AD">
      <w:pPr>
        <w:jc w:val="center"/>
        <w:rPr>
          <w:rFonts w:eastAsia="Times New Roman"/>
        </w:rPr>
      </w:pPr>
      <w:r>
        <w:rPr>
          <w:rFonts w:eastAsia="Times New Roman"/>
          <w:b/>
          <w:bCs/>
          <w:color w:val="000000"/>
          <w:sz w:val="16"/>
          <w:szCs w:val="16"/>
        </w:rPr>
        <w:t> (In thousands, except share data</w:t>
      </w:r>
      <w:r>
        <w:rPr>
          <w:rFonts w:eastAsia="Times New Roman"/>
          <w:b/>
          <w:bCs/>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962"/>
        <w:gridCol w:w="40"/>
        <w:gridCol w:w="99"/>
        <w:gridCol w:w="776"/>
        <w:gridCol w:w="80"/>
        <w:gridCol w:w="94"/>
        <w:gridCol w:w="316"/>
        <w:gridCol w:w="93"/>
        <w:gridCol w:w="125"/>
        <w:gridCol w:w="240"/>
        <w:gridCol w:w="80"/>
        <w:gridCol w:w="112"/>
        <w:gridCol w:w="378"/>
        <w:gridCol w:w="111"/>
        <w:gridCol w:w="125"/>
        <w:gridCol w:w="780"/>
        <w:gridCol w:w="80"/>
        <w:gridCol w:w="36"/>
        <w:gridCol w:w="36"/>
        <w:gridCol w:w="36"/>
        <w:gridCol w:w="125"/>
        <w:gridCol w:w="630"/>
        <w:gridCol w:w="80"/>
        <w:gridCol w:w="36"/>
        <w:gridCol w:w="36"/>
        <w:gridCol w:w="36"/>
        <w:gridCol w:w="126"/>
        <w:gridCol w:w="882"/>
        <w:gridCol w:w="112"/>
        <w:gridCol w:w="36"/>
        <w:gridCol w:w="36"/>
        <w:gridCol w:w="36"/>
        <w:gridCol w:w="126"/>
        <w:gridCol w:w="754"/>
        <w:gridCol w:w="96"/>
        <w:gridCol w:w="36"/>
        <w:gridCol w:w="36"/>
        <w:gridCol w:w="36"/>
        <w:gridCol w:w="125"/>
        <w:gridCol w:w="645"/>
        <w:gridCol w:w="80"/>
        <w:gridCol w:w="36"/>
        <w:gridCol w:w="36"/>
        <w:gridCol w:w="36"/>
        <w:gridCol w:w="325"/>
        <w:gridCol w:w="325"/>
        <w:gridCol w:w="325"/>
        <w:gridCol w:w="36"/>
        <w:gridCol w:w="36"/>
        <w:gridCol w:w="36"/>
        <w:gridCol w:w="36"/>
        <w:gridCol w:w="36"/>
        <w:gridCol w:w="36"/>
        <w:gridCol w:w="36"/>
        <w:gridCol w:w="36"/>
        <w:gridCol w:w="36"/>
        <w:gridCol w:w="36"/>
        <w:gridCol w:w="36"/>
        <w:gridCol w:w="36"/>
        <w:gridCol w:w="36"/>
        <w:gridCol w:w="36"/>
        <w:gridCol w:w="36"/>
      </w:tblGrid>
      <w:tr w:rsidR="00000000">
        <w:trPr>
          <w:gridAfter w:val="21"/>
          <w:divId w:val="1694457991"/>
          <w:jc w:val="center"/>
        </w:trPr>
        <w:tc>
          <w:tcPr>
            <w:tcW w:w="50" w:type="pct"/>
            <w:vAlign w:val="center"/>
            <w:hideMark/>
          </w:tcPr>
          <w:p w:rsidR="00000000" w:rsidRDefault="007258AD">
            <w:pPr>
              <w:jc w:val="center"/>
              <w:rPr>
                <w:rFonts w:eastAsia="Times New Roman"/>
              </w:rPr>
            </w:pPr>
          </w:p>
        </w:tc>
        <w:tc>
          <w:tcPr>
            <w:tcW w:w="121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5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5"/>
          <w:divId w:val="1694457991"/>
          <w:jc w:val="center"/>
        </w:trPr>
        <w:tc>
          <w:tcPr>
            <w:tcW w:w="0" w:type="auto"/>
            <w:gridSpan w:val="3"/>
            <w:vMerge w:val="restart"/>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w:t>
            </w:r>
            <w:r>
              <w:rPr>
                <w:rFonts w:eastAsia="Times New Roman"/>
                <w:b/>
                <w:bCs/>
                <w:color w:val="000000"/>
                <w:sz w:val="16"/>
                <w:szCs w:val="16"/>
              </w:rPr>
              <w:t>l</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r>
            <w:r>
              <w:rPr>
                <w:rFonts w:eastAsia="Times New Roman"/>
                <w:b/>
                <w:bCs/>
                <w:color w:val="000000"/>
                <w:sz w:val="16"/>
                <w:szCs w:val="16"/>
              </w:rPr>
              <w:t>Comprehensive</w:t>
            </w:r>
            <w:r>
              <w:rPr>
                <w:rFonts w:eastAsia="Times New Roman"/>
                <w:b/>
                <w:bCs/>
                <w:color w:val="000000"/>
                <w:sz w:val="16"/>
                <w:szCs w:val="16"/>
              </w:rPr>
              <w:br/>
              <w:t>Los</w:t>
            </w:r>
            <w:r>
              <w:rPr>
                <w:rFonts w:eastAsia="Times New Roman"/>
                <w:b/>
                <w:bCs/>
                <w:color w:val="000000"/>
                <w:sz w:val="16"/>
                <w:szCs w:val="16"/>
              </w:rPr>
              <w:t>s</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Treasury stock, at cos</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w:t>
            </w:r>
            <w:r>
              <w:rPr>
                <w:rFonts w:eastAsia="Times New Roman"/>
                <w:b/>
                <w:bCs/>
                <w:color w:val="000000"/>
                <w:sz w:val="16"/>
                <w:szCs w:val="16"/>
              </w:rPr>
              <w:t>y</w:t>
            </w:r>
          </w:p>
        </w:tc>
      </w:tr>
      <w:tr w:rsidR="00000000">
        <w:trPr>
          <w:divId w:val="1694457991"/>
          <w:jc w:val="center"/>
        </w:trPr>
        <w:tc>
          <w:tcPr>
            <w:tcW w:w="0" w:type="auto"/>
            <w:gridSpan w:val="3"/>
            <w:vMerge/>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December 31,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70,065,130</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70</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1,609,358</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(12,333</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(1,108,137</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258,974</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(13,184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(13,184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Foreign currency translation adjustmen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2,873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stock units veste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157,384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Common stock received from tax withholdin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(15,597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stock-based compensatio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March 31,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70,206,917</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70</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1,611,902</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(15,206</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(1,121,321</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245,461</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(10,401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10,401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Foreign currency translation adjustmen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stock units veste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659,244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Common stock received from tax withholdin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stock-based compensatio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9445799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June 30, 202</w:t>
            </w:r>
            <w:r>
              <w:rPr>
                <w:rFonts w:eastAsia="Times New Roman"/>
                <w:b/>
                <w:bCs/>
                <w:color w:val="000000"/>
                <w:sz w:val="18"/>
                <w:szCs w:val="18"/>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70,865,075</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71</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1,615,284</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(13,642</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(1,131,722</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240,007</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4457991"/>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025"/>
        <w:gridCol w:w="144"/>
        <w:gridCol w:w="144"/>
        <w:gridCol w:w="652"/>
        <w:gridCol w:w="144"/>
        <w:gridCol w:w="144"/>
        <w:gridCol w:w="144"/>
        <w:gridCol w:w="144"/>
        <w:gridCol w:w="144"/>
        <w:gridCol w:w="652"/>
        <w:gridCol w:w="144"/>
        <w:gridCol w:w="144"/>
        <w:gridCol w:w="144"/>
        <w:gridCol w:w="144"/>
        <w:gridCol w:w="144"/>
        <w:gridCol w:w="652"/>
        <w:gridCol w:w="144"/>
        <w:gridCol w:w="144"/>
        <w:gridCol w:w="144"/>
        <w:gridCol w:w="144"/>
        <w:gridCol w:w="480"/>
        <w:gridCol w:w="144"/>
        <w:gridCol w:w="755"/>
        <w:gridCol w:w="144"/>
        <w:gridCol w:w="144"/>
        <w:gridCol w:w="144"/>
        <w:gridCol w:w="144"/>
        <w:gridCol w:w="144"/>
        <w:gridCol w:w="652"/>
        <w:gridCol w:w="144"/>
        <w:gridCol w:w="144"/>
        <w:gridCol w:w="144"/>
        <w:gridCol w:w="144"/>
        <w:gridCol w:w="144"/>
        <w:gridCol w:w="652"/>
        <w:gridCol w:w="144"/>
        <w:gridCol w:w="144"/>
        <w:gridCol w:w="144"/>
        <w:gridCol w:w="144"/>
        <w:gridCol w:w="144"/>
        <w:gridCol w:w="652"/>
        <w:gridCol w:w="144"/>
        <w:gridCol w:w="480"/>
        <w:gridCol w:w="480"/>
        <w:gridCol w:w="480"/>
        <w:gridCol w:w="480"/>
        <w:gridCol w:w="480"/>
        <w:gridCol w:w="480"/>
        <w:gridCol w:w="160"/>
        <w:gridCol w:w="160"/>
        <w:gridCol w:w="160"/>
        <w:gridCol w:w="480"/>
        <w:gridCol w:w="480"/>
        <w:gridCol w:w="480"/>
        <w:gridCol w:w="480"/>
        <w:gridCol w:w="480"/>
        <w:gridCol w:w="480"/>
        <w:gridCol w:w="480"/>
        <w:gridCol w:w="480"/>
        <w:gridCol w:w="480"/>
      </w:tblGrid>
      <w:tr w:rsidR="00000000">
        <w:trPr>
          <w:gridAfter w:val="18"/>
          <w:jc w:val="center"/>
        </w:trPr>
        <w:tc>
          <w:tcPr>
            <w:tcW w:w="50" w:type="pct"/>
            <w:vAlign w:val="center"/>
            <w:hideMark/>
          </w:tcPr>
          <w:p w:rsidR="00000000" w:rsidRDefault="007258AD">
            <w:pPr>
              <w:jc w:val="center"/>
              <w:rPr>
                <w:rFonts w:eastAsia="Times New Roman"/>
              </w:rPr>
            </w:pPr>
          </w:p>
        </w:tc>
        <w:tc>
          <w:tcPr>
            <w:tcW w:w="121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5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9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2"/>
          <w:jc w:val="center"/>
        </w:trPr>
        <w:tc>
          <w:tcPr>
            <w:tcW w:w="0" w:type="auto"/>
            <w:gridSpan w:val="3"/>
            <w:vMerge w:val="restart"/>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w:t>
            </w:r>
            <w:r>
              <w:rPr>
                <w:rFonts w:eastAsia="Times New Roman"/>
                <w:b/>
                <w:bCs/>
                <w:color w:val="000000"/>
                <w:sz w:val="16"/>
                <w:szCs w:val="16"/>
              </w:rPr>
              <w:t>l</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Los</w:t>
            </w:r>
            <w:r>
              <w:rPr>
                <w:rFonts w:eastAsia="Times New Roman"/>
                <w:b/>
                <w:bCs/>
                <w:color w:val="000000"/>
                <w:sz w:val="16"/>
                <w:szCs w:val="16"/>
              </w:rPr>
              <w:t>s</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Treasury stock, at cos</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w:t>
            </w:r>
            <w:r>
              <w:rPr>
                <w:rFonts w:eastAsia="Times New Roman"/>
                <w:b/>
                <w:bCs/>
                <w:color w:val="000000"/>
                <w:sz w:val="16"/>
                <w:szCs w:val="16"/>
              </w:rPr>
              <w:t>y</w:t>
            </w:r>
          </w:p>
        </w:tc>
      </w:tr>
      <w:tr w:rsidR="00000000">
        <w:trPr>
          <w:jc w:val="center"/>
        </w:trPr>
        <w:tc>
          <w:tcPr>
            <w:tcW w:w="0" w:type="auto"/>
            <w:gridSpan w:val="3"/>
            <w:vMerge/>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Merge/>
            <w:vAlign w:val="center"/>
            <w:hideMark/>
          </w:tcPr>
          <w:p w:rsidR="00000000" w:rsidRDefault="007258AD">
            <w:pP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December 31, 201</w:t>
            </w:r>
            <w:r>
              <w:rPr>
                <w:rFonts w:eastAsia="Times New Roman"/>
                <w:b/>
                <w:bCs/>
                <w:color w:val="000000"/>
                <w:sz w:val="18"/>
                <w:szCs w:val="18"/>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59,389,830</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59</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1,561,208</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(10,621</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(769,095</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551,567</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Adoption of ASC 84</w:t>
            </w:r>
            <w:r>
              <w:rPr>
                <w:rFonts w:eastAsia="Times New Roman"/>
                <w:color w:val="000000"/>
                <w:sz w:val="18"/>
                <w:szCs w:val="18"/>
              </w:rPr>
              <w:t>2</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(27,514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(27,514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Foreign currency translation adjustmen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Exercise of common stock option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68,259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stock units veste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552,651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Common stock received from tax withholdin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(52,853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(1,138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(1,138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stock-based compensatio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March 31,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59,957,887</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60</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1,571,759</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(11,242</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(796,655</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533,938</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(279,533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(279,533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Foreign currency translation adjustmen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Issuance of common stock in connection with CVI Warrant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2,728,513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7,575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Common stock warrants exercise</w:t>
            </w:r>
            <w:r>
              <w:rPr>
                <w:rFonts w:eastAsia="Times New Roman"/>
                <w:color w:val="000000"/>
                <w:sz w:val="18"/>
                <w:szCs w:val="18"/>
              </w:rPr>
              <w:t>d</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323,448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Interest paid in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243,261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stock units veste</w:t>
            </w:r>
            <w:r>
              <w:rPr>
                <w:rFonts w:eastAsia="Times New Roman"/>
                <w:color w:val="000000"/>
                <w:sz w:val="18"/>
                <w:szCs w:val="18"/>
              </w:rPr>
              <w:t>d</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46,078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Common stock received from tax withholdin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stock-based compensatio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June 30, 201</w:t>
            </w:r>
            <w:r>
              <w:rPr>
                <w:rFonts w:eastAsia="Times New Roman"/>
                <w:b/>
                <w:bCs/>
                <w:color w:val="000000"/>
                <w:sz w:val="18"/>
                <w:szCs w:val="18"/>
              </w:rPr>
              <w:t>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63,291,969</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63</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1,586,750</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(10,565</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(1,076,188</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229,984</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270,076</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divId w:val="1838614056"/>
        <w:rPr>
          <w:rFonts w:eastAsia="Times New Roman"/>
        </w:rPr>
      </w:pPr>
      <w:r>
        <w:rPr>
          <w:rFonts w:eastAsia="Times New Roman"/>
          <w:color w:val="000000"/>
          <w:sz w:val="18"/>
          <w:szCs w:val="18"/>
        </w:rPr>
        <w:t>See accompanying Notes to Condensed Consolidated Financial Statements</w:t>
      </w:r>
      <w:r>
        <w:rPr>
          <w:rFonts w:eastAsia="Times New Roman"/>
          <w:color w:val="000000"/>
          <w:sz w:val="18"/>
          <w:szCs w:val="18"/>
        </w:rPr>
        <w:t>.</w:t>
      </w:r>
    </w:p>
    <w:p w:rsidR="00000000" w:rsidRDefault="007258AD">
      <w:pPr>
        <w:jc w:val="center"/>
        <w:divId w:val="956133864"/>
        <w:rPr>
          <w:rFonts w:eastAsia="Times New Roman"/>
        </w:rPr>
      </w:pPr>
      <w:r>
        <w:rPr>
          <w:rFonts w:eastAsia="Times New Roman"/>
          <w:color w:val="000000"/>
          <w:sz w:val="20"/>
          <w:szCs w:val="20"/>
        </w:rPr>
        <w:t>4</w:t>
      </w:r>
    </w:p>
    <w:p w:rsidR="00000000" w:rsidRDefault="007258AD">
      <w:pPr>
        <w:rPr>
          <w:rFonts w:eastAsia="Times New Roman"/>
        </w:rPr>
      </w:pPr>
      <w:r>
        <w:rPr>
          <w:rFonts w:eastAsia="Times New Roman"/>
        </w:rPr>
        <w:pict>
          <v:rect id="_x0000_i1031" style="width:0;height:1.5pt" o:hralign="center" o:hrstd="t" o:hr="t" fillcolor="#a0a0a0" stroked="f"/>
        </w:pict>
      </w:r>
    </w:p>
    <w:p w:rsidR="00000000" w:rsidRDefault="007258AD">
      <w:pPr>
        <w:jc w:val="both"/>
        <w:divId w:val="836531644"/>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836531644"/>
        <w:rPr>
          <w:rFonts w:eastAsia="Times New Roman"/>
        </w:rPr>
      </w:pPr>
    </w:p>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divId w:val="1661890276"/>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rsidR="00000000" w:rsidRDefault="007258AD">
      <w:pPr>
        <w:jc w:val="center"/>
        <w:divId w:val="962689376"/>
        <w:rPr>
          <w:rFonts w:eastAsia="Times New Roman"/>
        </w:rPr>
      </w:pPr>
      <w:r>
        <w:rPr>
          <w:rFonts w:eastAsia="Times New Roman"/>
          <w:b/>
          <w:bCs/>
          <w:color w:val="000000"/>
          <w:sz w:val="16"/>
          <w:szCs w:val="16"/>
        </w:rPr>
        <w:t>(Unaudited</w:t>
      </w:r>
      <w:r>
        <w:rPr>
          <w:rFonts w:eastAsia="Times New Roman"/>
          <w:b/>
          <w:bCs/>
          <w:color w:val="000000"/>
          <w:sz w:val="16"/>
          <w:szCs w:val="16"/>
        </w:rPr>
        <w:t>)</w:t>
      </w:r>
    </w:p>
    <w:p w:rsidR="00000000" w:rsidRDefault="007258AD">
      <w:pPr>
        <w:jc w:val="center"/>
        <w:rPr>
          <w:rFonts w:eastAsia="Times New Roman"/>
        </w:rPr>
      </w:pPr>
      <w:r>
        <w:rPr>
          <w:rFonts w:eastAsia="Times New Roman"/>
          <w:b/>
          <w:bCs/>
          <w:color w:val="000000"/>
          <w:sz w:val="16"/>
          <w:szCs w:val="16"/>
        </w:rPr>
        <w:t>(In thousands</w:t>
      </w:r>
      <w:r>
        <w:rPr>
          <w:rFonts w:eastAsia="Times New Roman"/>
          <w:b/>
          <w:bCs/>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669"/>
        <w:gridCol w:w="44"/>
        <w:gridCol w:w="36"/>
        <w:gridCol w:w="36"/>
        <w:gridCol w:w="36"/>
        <w:gridCol w:w="125"/>
        <w:gridCol w:w="868"/>
        <w:gridCol w:w="80"/>
        <w:gridCol w:w="36"/>
        <w:gridCol w:w="36"/>
        <w:gridCol w:w="36"/>
        <w:gridCol w:w="125"/>
        <w:gridCol w:w="839"/>
        <w:gridCol w:w="80"/>
        <w:gridCol w:w="36"/>
        <w:gridCol w:w="36"/>
        <w:gridCol w:w="36"/>
        <w:gridCol w:w="36"/>
        <w:gridCol w:w="36"/>
        <w:gridCol w:w="36"/>
      </w:tblGrid>
      <w:tr w:rsidR="00000000">
        <w:trPr>
          <w:gridAfter w:val="6"/>
          <w:divId w:val="1690570243"/>
          <w:jc w:val="center"/>
        </w:trPr>
        <w:tc>
          <w:tcPr>
            <w:tcW w:w="50" w:type="pct"/>
            <w:vAlign w:val="center"/>
            <w:hideMark/>
          </w:tcPr>
          <w:p w:rsidR="00000000" w:rsidRDefault="007258AD">
            <w:pPr>
              <w:jc w:val="center"/>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690570243"/>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69057024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Operating activities</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(23,585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(307,047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Adjustments to reconcile net loss to net cash used in operating activities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Depreciatio</w:t>
            </w:r>
            <w:r>
              <w:rPr>
                <w:rFonts w:eastAsia="Times New Roman"/>
                <w:color w:val="000000"/>
                <w:sz w:val="18"/>
                <w:szCs w:val="18"/>
              </w:rPr>
              <w:t>n</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Non-cash operating lease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2,978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expense of finance lease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intangible assets</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16,181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Bad debt expens</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goodwil</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intangible asse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Stock-based compensatio</w:t>
            </w:r>
            <w:r>
              <w:rPr>
                <w:rFonts w:eastAsia="Times New Roman"/>
                <w:color w:val="000000"/>
                <w:sz w:val="18"/>
                <w:szCs w:val="18"/>
              </w:rPr>
              <w:t>n</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10,991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Deferred tax provision (benefit</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(3,983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financing derivative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(4,687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warrants liabilit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investment in equity securitie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right-of-use and long-lived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Accretion of debt discoun</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deferred financing cost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36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Changes in operating assets and liabilities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585"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Accounts receivabl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5,836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58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Prepaid expenses and other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585"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Accounts payable, accrued expenses and other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(13,948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585"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Contract liability and customer advance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58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Operating lease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operating activitie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(1,792</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(10,704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Investing activities</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380326714"/>
              <w:rPr>
                <w:rFonts w:eastAsia="Times New Roman"/>
              </w:rPr>
            </w:pPr>
            <w:r>
              <w:rPr>
                <w:rFonts w:eastAsia="Times New Roman"/>
                <w:color w:val="000000"/>
                <w:sz w:val="18"/>
                <w:szCs w:val="18"/>
              </w:rPr>
              <w:t>Proceeds from sale of investment in equity securitie</w:t>
            </w:r>
            <w:r>
              <w:rPr>
                <w:rFonts w:eastAsia="Times New Roman"/>
                <w:color w:val="000000"/>
                <w:sz w:val="18"/>
                <w:szCs w:val="18"/>
              </w:rPr>
              <w:t>s</w:t>
            </w:r>
            <w:r>
              <w:rPr>
                <w:rFonts w:eastAsia="Times New Roman"/>
                <w:color w:val="000000"/>
                <w:sz w:val="12"/>
                <w:szCs w:val="12"/>
                <w:vertAlign w:val="superscript"/>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Purchases of property and equipmen</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(1,893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Capitalized internal-use software cost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(7,836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(5,619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investing activitie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(7,881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(6,807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Financing activities</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Proceeds from private placement, net of issuance costs pai</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Proceeds from sale-leaseback financing transactio</w:t>
            </w:r>
            <w:r>
              <w:rPr>
                <w:rFonts w:eastAsia="Times New Roman"/>
                <w:color w:val="000000"/>
                <w:sz w:val="18"/>
                <w:szCs w:val="18"/>
              </w:rPr>
              <w:t>n</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Proceeds from the exercise of stock option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Payments for taxes related to net share settlement of equity award</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Principal payments on finance lease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Principal payments on software license arrangement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(1,662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provided by financing activitie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Effect of exchange rate changes on cash, cash equivalents and restricted cas</w:t>
            </w:r>
            <w:r>
              <w:rPr>
                <w:rFonts w:eastAsia="Times New Roman"/>
                <w:color w:val="000000"/>
                <w:sz w:val="18"/>
                <w:szCs w:val="18"/>
              </w:rPr>
              <w:t>h</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(544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(decrease) increase in cash, cash equivalents and restricted cas</w:t>
            </w:r>
            <w:r>
              <w:rPr>
                <w:rFonts w:eastAsia="Times New Roman"/>
                <w:color w:val="000000"/>
                <w:sz w:val="18"/>
                <w:szCs w:val="18"/>
              </w:rPr>
              <w:t>h</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(11,263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Cash, cash equivalents and restricted cash at beginning of perio</w:t>
            </w:r>
            <w:r>
              <w:rPr>
                <w:rFonts w:eastAsia="Times New Roman"/>
                <w:color w:val="000000"/>
                <w:sz w:val="18"/>
                <w:szCs w:val="18"/>
              </w:rPr>
              <w:t>d</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66,773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50,198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Cash, cash equivalents and restricted cash at end of perio</w:t>
            </w:r>
            <w:r>
              <w:rPr>
                <w:rFonts w:eastAsia="Times New Roman"/>
                <w:color w:val="000000"/>
                <w:sz w:val="18"/>
                <w:szCs w:val="18"/>
              </w:rPr>
              <w:t>d</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55,510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53,826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690570243"/>
          <w:trHeight w:val="240"/>
          <w:jc w:val="center"/>
        </w:trPr>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divId w:val="251134287"/>
        <w:rPr>
          <w:rFonts w:eastAsia="Times New Roman"/>
        </w:rPr>
      </w:pPr>
      <w:r>
        <w:rPr>
          <w:rFonts w:eastAsia="Times New Roman"/>
          <w:color w:val="000000"/>
          <w:sz w:val="20"/>
          <w:szCs w:val="20"/>
        </w:rPr>
        <w:t>5</w:t>
      </w:r>
    </w:p>
    <w:p w:rsidR="00000000" w:rsidRDefault="007258AD">
      <w:pPr>
        <w:rPr>
          <w:rFonts w:eastAsia="Times New Roman"/>
        </w:rPr>
      </w:pPr>
      <w:r>
        <w:rPr>
          <w:rFonts w:eastAsia="Times New Roman"/>
        </w:rPr>
        <w:pict>
          <v:rect id="_x0000_i1032" style="width:0;height:1.5pt" o:hralign="center" o:hrstd="t" o:hr="t" fillcolor="#a0a0a0" stroked="f"/>
        </w:pict>
      </w:r>
    </w:p>
    <w:p w:rsidR="00000000" w:rsidRDefault="007258AD">
      <w:pPr>
        <w:jc w:val="both"/>
        <w:divId w:val="1797599230"/>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79759923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669"/>
        <w:gridCol w:w="44"/>
        <w:gridCol w:w="36"/>
        <w:gridCol w:w="36"/>
        <w:gridCol w:w="36"/>
        <w:gridCol w:w="125"/>
        <w:gridCol w:w="868"/>
        <w:gridCol w:w="80"/>
        <w:gridCol w:w="36"/>
        <w:gridCol w:w="36"/>
        <w:gridCol w:w="36"/>
        <w:gridCol w:w="125"/>
        <w:gridCol w:w="839"/>
        <w:gridCol w:w="80"/>
        <w:gridCol w:w="36"/>
        <w:gridCol w:w="36"/>
        <w:gridCol w:w="36"/>
        <w:gridCol w:w="36"/>
        <w:gridCol w:w="36"/>
        <w:gridCol w:w="36"/>
      </w:tblGrid>
      <w:tr w:rsidR="00000000">
        <w:trPr>
          <w:gridAfter w:val="6"/>
          <w:divId w:val="905266303"/>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6"/>
          <w:divId w:val="9052663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gridAfter w:val="6"/>
          <w:divId w:val="9052663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gridAfter w:val="6"/>
          <w:divId w:val="9052663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9052663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of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9052663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35,899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48,963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Restricted cas</w:t>
            </w:r>
            <w:r>
              <w:rPr>
                <w:rFonts w:eastAsia="Times New Roman"/>
                <w:color w:val="000000"/>
                <w:sz w:val="18"/>
                <w:szCs w:val="18"/>
              </w:rPr>
              <w:t>h</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19,611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4,863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cash, cash equivalents and restricted cash</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55,510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53,826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trHeight w:val="240"/>
          <w:jc w:val="center"/>
        </w:trPr>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9052663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Supplemental cash flow disclosures</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918948681"/>
              <w:rPr>
                <w:rFonts w:eastAsia="Times New Roman"/>
              </w:rPr>
            </w:pPr>
            <w:r>
              <w:rPr>
                <w:rFonts w:eastAsia="Times New Roman"/>
                <w:color w:val="000000"/>
                <w:sz w:val="18"/>
                <w:szCs w:val="18"/>
              </w:rPr>
              <w:t>Interest paid ($12,240 and $3,046 attributable to related party, respectively</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13,551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3,413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Income taxes paid, net of refund</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Supplemental disclosures of non-cash activities</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Settlement of restricted stock unit liabilit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Right-of-use assets obtained in exchange for new operating lease liabilitie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accounts payable and accrued expenses related to capital expenditure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Leasehold improvements acquired through lease incentive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Fair value of warrants issued in private placemen</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Interest paid in common stoc</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052663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Right-of-use assets obtained in exchange for new finance lease liabilitie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3,487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rPr>
          <w:rFonts w:eastAsia="Times New Roman"/>
        </w:rPr>
      </w:pPr>
      <w:r>
        <w:rPr>
          <w:rFonts w:eastAsia="Times New Roman"/>
          <w:color w:val="000000"/>
          <w:sz w:val="18"/>
          <w:szCs w:val="18"/>
        </w:rPr>
        <w:t>See accompanying Notes to Condensed Consolidated Financial Statements</w:t>
      </w:r>
      <w:r>
        <w:rPr>
          <w:rFonts w:eastAsia="Times New Roman"/>
          <w:color w:val="000000"/>
          <w:sz w:val="18"/>
          <w:szCs w:val="18"/>
        </w:rPr>
        <w:t>.</w:t>
      </w:r>
    </w:p>
    <w:p w:rsidR="00000000" w:rsidRDefault="007258AD">
      <w:pPr>
        <w:jc w:val="center"/>
        <w:divId w:val="1441415604"/>
        <w:rPr>
          <w:rFonts w:eastAsia="Times New Roman"/>
        </w:rPr>
      </w:pPr>
      <w:r>
        <w:rPr>
          <w:rFonts w:eastAsia="Times New Roman"/>
          <w:color w:val="000000"/>
          <w:sz w:val="20"/>
          <w:szCs w:val="20"/>
        </w:rPr>
        <w:t>6</w:t>
      </w:r>
    </w:p>
    <w:p w:rsidR="00000000" w:rsidRDefault="007258AD">
      <w:pPr>
        <w:rPr>
          <w:rFonts w:eastAsia="Times New Roman"/>
        </w:rPr>
      </w:pPr>
      <w:r>
        <w:rPr>
          <w:rFonts w:eastAsia="Times New Roman"/>
        </w:rPr>
        <w:pict>
          <v:rect id="_x0000_i1033" style="width:0;height:1.5pt" o:hralign="center" o:hrstd="t" o:hr="t" fillcolor="#a0a0a0" stroked="f"/>
        </w:pict>
      </w:r>
    </w:p>
    <w:p w:rsidR="00000000" w:rsidRDefault="007258AD">
      <w:pPr>
        <w:jc w:val="both"/>
        <w:divId w:val="1786073748"/>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786073748"/>
        <w:rPr>
          <w:rFonts w:eastAsia="Times New Roman"/>
        </w:rPr>
      </w:pPr>
    </w:p>
    <w:p w:rsidR="00000000" w:rsidRDefault="007258AD">
      <w:pPr>
        <w:jc w:val="center"/>
        <w:rPr>
          <w:rFonts w:eastAsia="Times New Roman"/>
        </w:rPr>
      </w:pPr>
      <w:r>
        <w:rPr>
          <w:rFonts w:eastAsia="Times New Roman"/>
          <w:b/>
          <w:bCs/>
          <w:color w:val="000000"/>
          <w:sz w:val="20"/>
          <w:szCs w:val="20"/>
        </w:rPr>
        <w:t>COMSCORE, INC</w:t>
      </w:r>
      <w:r>
        <w:rPr>
          <w:rFonts w:eastAsia="Times New Roman"/>
          <w:b/>
          <w:bCs/>
          <w:color w:val="000000"/>
          <w:sz w:val="20"/>
          <w:szCs w:val="20"/>
        </w:rPr>
        <w:t>.</w:t>
      </w:r>
    </w:p>
    <w:p w:rsidR="00000000" w:rsidRDefault="007258AD">
      <w:pPr>
        <w:jc w:val="center"/>
        <w:divId w:val="708260493"/>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p w:rsidR="00000000" w:rsidRDefault="007258AD">
      <w:pPr>
        <w:jc w:val="center"/>
        <w:rPr>
          <w:rFonts w:eastAsia="Times New Roman"/>
        </w:rPr>
      </w:pPr>
    </w:p>
    <w:p w:rsidR="00000000" w:rsidRDefault="007258AD">
      <w:pPr>
        <w:ind w:hanging="360"/>
        <w:jc w:val="both"/>
        <w:divId w:val="1614631105"/>
        <w:rPr>
          <w:rFonts w:eastAsia="Times New Roman"/>
        </w:rPr>
      </w:pPr>
      <w:r>
        <w:rPr>
          <w:rFonts w:eastAsia="Times New Roman"/>
          <w:b/>
          <w:bCs/>
          <w:color w:val="000000"/>
          <w:sz w:val="20"/>
          <w:szCs w:val="20"/>
        </w:rPr>
        <w:t>1</w:t>
      </w:r>
      <w:r>
        <w:rPr>
          <w:rFonts w:eastAsia="Times New Roman"/>
          <w:b/>
          <w:bCs/>
          <w:color w:val="000000"/>
          <w:sz w:val="20"/>
          <w:szCs w:val="20"/>
        </w:rPr>
        <w:t>.</w:t>
      </w:r>
      <w:r>
        <w:rPr>
          <w:rFonts w:eastAsia="Times New Roman"/>
          <w:b/>
          <w:bCs/>
          <w:color w:val="000000"/>
          <w:sz w:val="20"/>
          <w:szCs w:val="20"/>
        </w:rPr>
        <w:t>Organizatio</w:t>
      </w:r>
      <w:r>
        <w:rPr>
          <w:rFonts w:eastAsia="Times New Roman"/>
          <w:b/>
          <w:bCs/>
          <w:color w:val="000000"/>
          <w:sz w:val="20"/>
          <w:szCs w:val="20"/>
        </w:rPr>
        <w:t>n</w:t>
      </w:r>
    </w:p>
    <w:p w:rsidR="00000000" w:rsidRDefault="007258AD">
      <w:pPr>
        <w:jc w:val="both"/>
        <w:divId w:val="257757839"/>
        <w:rPr>
          <w:rFonts w:eastAsia="Times New Roman"/>
        </w:rPr>
      </w:pPr>
      <w:r>
        <w:rPr>
          <w:rFonts w:eastAsia="Times New Roman"/>
          <w:color w:val="000000"/>
          <w:sz w:val="20"/>
          <w:szCs w:val="20"/>
        </w:rPr>
        <w:t>comScore, Inc., together with its consolidated subsidiaries (collectively, "Comscore" or the "Company"), headquartered in Reston, Virginia, is a global information and analytics company that measures audiences, consumer behavior and advertising across medi</w:t>
      </w:r>
      <w:r>
        <w:rPr>
          <w:rFonts w:eastAsia="Times New Roman"/>
          <w:color w:val="000000"/>
          <w:sz w:val="20"/>
          <w:szCs w:val="20"/>
        </w:rPr>
        <w:t>a platforms.</w:t>
      </w:r>
      <w:r>
        <w:rPr>
          <w:rFonts w:eastAsia="Times New Roman"/>
          <w:color w:val="000000"/>
          <w:sz w:val="20"/>
          <w:szCs w:val="20"/>
        </w:rPr>
        <w:t xml:space="preserve"> </w:t>
      </w:r>
    </w:p>
    <w:p w:rsidR="00000000" w:rsidRDefault="007258AD">
      <w:pPr>
        <w:jc w:val="both"/>
        <w:divId w:val="314377453"/>
        <w:rPr>
          <w:rFonts w:eastAsia="Times New Roman"/>
        </w:rPr>
      </w:pPr>
      <w:r>
        <w:rPr>
          <w:rFonts w:eastAsia="Times New Roman"/>
          <w:color w:val="000000"/>
          <w:sz w:val="20"/>
          <w:szCs w:val="20"/>
        </w:rPr>
        <w:t>Operating segments are defined as components of a business that can earn revenues and incur expenses for which discrete financial information is available that is evaluated on a regular basis by the chief operating decision maker ("CODM"). Th</w:t>
      </w:r>
      <w:r>
        <w:rPr>
          <w:rFonts w:eastAsia="Times New Roman"/>
          <w:color w:val="000000"/>
          <w:sz w:val="20"/>
          <w:szCs w:val="20"/>
        </w:rPr>
        <w:t>e Company's CODM is its principal executive officer, who decides how to allocate resources and assess performance. The Company has one operating segment. A single management team reports to the CODM, who manages the entire business. The Company's CODM revi</w:t>
      </w:r>
      <w:r>
        <w:rPr>
          <w:rFonts w:eastAsia="Times New Roman"/>
          <w:color w:val="000000"/>
          <w:sz w:val="20"/>
          <w:szCs w:val="20"/>
        </w:rPr>
        <w:t>ews consolidated results of operations to make decisions, allocate resources and assess performance and does not evaluate the profit or loss from any separate geography or product line.</w:t>
      </w:r>
      <w:r>
        <w:rPr>
          <w:rFonts w:eastAsia="Times New Roman"/>
          <w:color w:val="000000"/>
          <w:sz w:val="20"/>
          <w:szCs w:val="20"/>
        </w:rPr>
        <w:t xml:space="preserve"> </w:t>
      </w:r>
    </w:p>
    <w:p w:rsidR="00000000" w:rsidRDefault="007258AD">
      <w:pPr>
        <w:jc w:val="both"/>
        <w:divId w:val="263344581"/>
        <w:rPr>
          <w:rFonts w:eastAsia="Times New Roman"/>
        </w:rPr>
      </w:pPr>
      <w:r>
        <w:rPr>
          <w:rFonts w:eastAsia="Times New Roman"/>
          <w:b/>
          <w:bCs/>
          <w:i/>
          <w:iCs/>
          <w:color w:val="000000"/>
          <w:sz w:val="20"/>
          <w:szCs w:val="20"/>
        </w:rPr>
        <w:t>Uses and Sources of Liquidity and Management's Plan</w:t>
      </w:r>
      <w:r>
        <w:rPr>
          <w:rFonts w:eastAsia="Times New Roman"/>
          <w:b/>
          <w:bCs/>
          <w:i/>
          <w:iCs/>
          <w:color w:val="000000"/>
          <w:sz w:val="20"/>
          <w:szCs w:val="20"/>
        </w:rPr>
        <w:t>s</w:t>
      </w:r>
    </w:p>
    <w:p w:rsidR="00000000" w:rsidRDefault="007258AD">
      <w:pPr>
        <w:jc w:val="both"/>
        <w:divId w:val="457187327"/>
        <w:rPr>
          <w:rFonts w:eastAsia="Times New Roman"/>
        </w:rPr>
      </w:pPr>
      <w:r>
        <w:rPr>
          <w:rFonts w:eastAsia="Times New Roman"/>
          <w:color w:val="000000"/>
          <w:sz w:val="20"/>
          <w:szCs w:val="20"/>
        </w:rPr>
        <w:t>The Company's primary need for liquidity is to fund working capital requirements and capital expenditures of its business. The Company has secured the following long-term financing in order to increase its available working capital</w:t>
      </w:r>
      <w:r>
        <w:rPr>
          <w:rFonts w:eastAsia="Times New Roman"/>
          <w:color w:val="000000"/>
          <w:sz w:val="20"/>
          <w:szCs w:val="20"/>
        </w:rPr>
        <w:t>:</w:t>
      </w:r>
    </w:p>
    <w:p w:rsidR="00000000" w:rsidRDefault="007258AD">
      <w:pPr>
        <w:ind w:hanging="360"/>
        <w:jc w:val="both"/>
        <w:divId w:val="2017148946"/>
        <w:rPr>
          <w:rFonts w:eastAsia="Times New Roman"/>
        </w:rPr>
      </w:pPr>
      <w:r>
        <w:rPr>
          <w:rFonts w:eastAsia="Times New Roman"/>
          <w:color w:val="000000"/>
          <w:sz w:val="20"/>
          <w:szCs w:val="20"/>
        </w:rPr>
        <w:t>•</w:t>
      </w:r>
      <w:r>
        <w:rPr>
          <w:rFonts w:eastAsia="Times New Roman"/>
          <w:color w:val="000000"/>
          <w:sz w:val="20"/>
          <w:szCs w:val="20"/>
        </w:rPr>
        <w:t>During 2018, the Compa</w:t>
      </w:r>
      <w:r>
        <w:rPr>
          <w:rFonts w:eastAsia="Times New Roman"/>
          <w:color w:val="000000"/>
          <w:sz w:val="20"/>
          <w:szCs w:val="20"/>
        </w:rPr>
        <w:t xml:space="preserve">ny entered into certain agreements with funds affiliated with or managed by Starboard Value LP (collectively, "Starboard"), pursuant to which the Company issued and sold to Starboard a total of $204.0 million in senior secured convertible notes as well as </w:t>
      </w:r>
      <w:r>
        <w:rPr>
          <w:rFonts w:eastAsia="Times New Roman"/>
          <w:color w:val="000000"/>
          <w:sz w:val="20"/>
          <w:szCs w:val="20"/>
        </w:rPr>
        <w:t>warrants to purchase shares of the Company's common stock, par value $0.001 per share (the "Common Stock") in exchange for $100.0 million in cash and 4,000,000 shares of Common Stock. For additional information, refer to</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w:t>
      </w:r>
      <w:r>
        <w:rPr>
          <w:rFonts w:eastAsia="Times New Roman"/>
          <w:color w:val="000000"/>
          <w:sz w:val="20"/>
          <w:szCs w:val="20"/>
        </w:rPr>
        <w:t xml:space="preserve"> </w:t>
      </w:r>
    </w:p>
    <w:p w:rsidR="00000000" w:rsidRDefault="007258AD">
      <w:pPr>
        <w:ind w:hanging="360"/>
        <w:jc w:val="both"/>
        <w:divId w:val="2103793459"/>
        <w:rPr>
          <w:rFonts w:eastAsia="Times New Roman"/>
        </w:rPr>
      </w:pPr>
      <w:r>
        <w:rPr>
          <w:rFonts w:eastAsia="Times New Roman"/>
          <w:color w:val="000000"/>
          <w:sz w:val="20"/>
          <w:szCs w:val="20"/>
        </w:rPr>
        <w:t>•</w:t>
      </w:r>
      <w:r>
        <w:rPr>
          <w:rFonts w:eastAsia="Times New Roman"/>
          <w:color w:val="000000"/>
          <w:sz w:val="20"/>
          <w:szCs w:val="20"/>
        </w:rPr>
        <w:t>On June 26, 2019, the Company issued 2,728,513 shares of Common Stock and four series of warrants in a private placement to CVI Investments, Inc. ("CVI") in exchange for gross cash proceeds of $20.0 mil</w:t>
      </w:r>
      <w:r>
        <w:rPr>
          <w:rFonts w:eastAsia="Times New Roman"/>
          <w:color w:val="000000"/>
          <w:sz w:val="20"/>
          <w:szCs w:val="20"/>
        </w:rPr>
        <w:t>lion. On October 14, 2019, the Company issued 2,728,513 shares of Common Stock to CVI upon exercise by CVI of the Series C warrant. For additional information, refer to</w:t>
      </w:r>
      <w:r>
        <w:rPr>
          <w:rFonts w:eastAsia="Times New Roman"/>
          <w:color w:val="000000"/>
          <w:sz w:val="20"/>
          <w:szCs w:val="20"/>
        </w:rPr>
        <w:t xml:space="preserve"> </w:t>
      </w:r>
      <w:hyperlink w:anchor="if3309f2850e6489fbcf3fb9276fba379_67" w:history="1">
        <w:r>
          <w:rPr>
            <w:rStyle w:val="a3"/>
            <w:rFonts w:eastAsia="Times New Roman"/>
            <w:sz w:val="20"/>
            <w:szCs w:val="20"/>
          </w:rPr>
          <w:t>Footnote 5</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Stockholders' Eq</w:t>
      </w:r>
      <w:r>
        <w:rPr>
          <w:rFonts w:eastAsia="Times New Roman"/>
          <w:i/>
          <w:iCs/>
          <w:color w:val="000000"/>
          <w:sz w:val="20"/>
          <w:szCs w:val="20"/>
        </w:rPr>
        <w:t>uity.</w:t>
      </w:r>
      <w:r>
        <w:rPr>
          <w:rFonts w:eastAsia="Times New Roman"/>
          <w:i/>
          <w:iCs/>
          <w:color w:val="000000"/>
          <w:sz w:val="20"/>
          <w:szCs w:val="20"/>
        </w:rPr>
        <w:t xml:space="preserve"> </w:t>
      </w:r>
    </w:p>
    <w:p w:rsidR="00000000" w:rsidRDefault="007258AD">
      <w:pPr>
        <w:ind w:hanging="360"/>
        <w:jc w:val="both"/>
        <w:divId w:val="1782994517"/>
        <w:rPr>
          <w:rFonts w:eastAsia="Times New Roman"/>
        </w:rPr>
      </w:pPr>
      <w:r>
        <w:rPr>
          <w:rFonts w:eastAsia="Times New Roman"/>
          <w:i/>
          <w:iCs/>
          <w:color w:val="000000"/>
          <w:sz w:val="20"/>
          <w:szCs w:val="20"/>
        </w:rPr>
        <w:t>•</w:t>
      </w:r>
      <w:r>
        <w:rPr>
          <w:rFonts w:eastAsia="Times New Roman"/>
          <w:color w:val="000000"/>
          <w:sz w:val="20"/>
          <w:szCs w:val="20"/>
        </w:rPr>
        <w:t>On December 31, 2019, the Company's wholly owned subsidiary, Rentrak B.V., entered into an agreement with several third parties (collectively the "Noteholder") for a secured term note (the "Secured Term Note") in exchange for gross proceeds of $13.</w:t>
      </w:r>
      <w:r>
        <w:rPr>
          <w:rFonts w:eastAsia="Times New Roman"/>
          <w:color w:val="000000"/>
          <w:sz w:val="20"/>
          <w:szCs w:val="20"/>
        </w:rPr>
        <w:t>0 million. The Secured Term Note matures on December 31, 2021, is cash collateralized, and has an annual interest rate of 9.75% that is payable monthly in arrears. For additional information, refer to</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Debt</w:t>
      </w:r>
      <w:r>
        <w:rPr>
          <w:rFonts w:eastAsia="Times New Roman"/>
          <w:i/>
          <w:iCs/>
          <w:color w:val="000000"/>
          <w:sz w:val="20"/>
          <w:szCs w:val="20"/>
        </w:rPr>
        <w:t>.</w:t>
      </w:r>
    </w:p>
    <w:p w:rsidR="00000000" w:rsidRDefault="007258AD">
      <w:pPr>
        <w:jc w:val="both"/>
        <w:divId w:val="606616789"/>
        <w:rPr>
          <w:rFonts w:eastAsia="Times New Roman"/>
        </w:rPr>
      </w:pPr>
      <w:r>
        <w:rPr>
          <w:rFonts w:eastAsia="Times New Roman"/>
          <w:color w:val="000000"/>
          <w:sz w:val="20"/>
          <w:szCs w:val="20"/>
        </w:rPr>
        <w:t>As of June 30, 2020, the Company was in compliance with its covenants under the senior secured convertible notes and the Secured Term Note, inclusive of the Company's restricted cash balances</w:t>
      </w:r>
      <w:r>
        <w:rPr>
          <w:rFonts w:eastAsia="Times New Roman"/>
          <w:color w:val="000000"/>
          <w:sz w:val="20"/>
          <w:szCs w:val="20"/>
        </w:rPr>
        <w:t>.</w:t>
      </w:r>
    </w:p>
    <w:p w:rsidR="00000000" w:rsidRDefault="007258AD">
      <w:pPr>
        <w:jc w:val="both"/>
        <w:divId w:val="1448426831"/>
        <w:rPr>
          <w:rFonts w:eastAsia="Times New Roman"/>
        </w:rPr>
      </w:pPr>
      <w:r>
        <w:rPr>
          <w:rFonts w:eastAsia="Times New Roman"/>
          <w:color w:val="000000"/>
          <w:sz w:val="20"/>
          <w:szCs w:val="20"/>
        </w:rPr>
        <w:t>The COVID-19 pandemic and relat</w:t>
      </w:r>
      <w:r>
        <w:rPr>
          <w:rFonts w:eastAsia="Times New Roman"/>
          <w:color w:val="000000"/>
          <w:sz w:val="20"/>
          <w:szCs w:val="20"/>
        </w:rPr>
        <w:t>ed government mandates and restrictions have had a significant impact on the media, advertising and entertainment industries in which the Company operates. To date, the COVID-19 pandemic has had some impact on the Company's business, including with respect</w:t>
      </w:r>
      <w:r>
        <w:rPr>
          <w:rFonts w:eastAsia="Times New Roman"/>
          <w:color w:val="000000"/>
          <w:sz w:val="20"/>
          <w:szCs w:val="20"/>
        </w:rPr>
        <w:t xml:space="preserve"> to the timing of executing new or renewal contracts, the impact of closed movie theaters on the Company's customers, customer payment delays and requests to modify contractual payment terms. These conditions have negatively impacted the Company's liquidit</w:t>
      </w:r>
      <w:r>
        <w:rPr>
          <w:rFonts w:eastAsia="Times New Roman"/>
          <w:color w:val="000000"/>
          <w:sz w:val="20"/>
          <w:szCs w:val="20"/>
        </w:rPr>
        <w:t>y, net loss, and cash flows to some extent and are expected to continue to have an impact in future periods. In addition, the spread of COVID-19 has led to disruption and volatility in global capital and credit markets, which, depending on future developme</w:t>
      </w:r>
      <w:r>
        <w:rPr>
          <w:rFonts w:eastAsia="Times New Roman"/>
          <w:color w:val="000000"/>
          <w:sz w:val="20"/>
          <w:szCs w:val="20"/>
        </w:rPr>
        <w:t>nts, could impact the Company's ability to access capital resources on terms acceptable to the Company or allowable under its current financing arrangements, or at all. Liquidity could also be negatively affected by a decrease in demand for the Company's p</w:t>
      </w:r>
      <w:r>
        <w:rPr>
          <w:rFonts w:eastAsia="Times New Roman"/>
          <w:color w:val="000000"/>
          <w:sz w:val="20"/>
          <w:szCs w:val="20"/>
        </w:rPr>
        <w:t>roducts and services or by additional losses from operations, whether related to the COVID-19 pandemic or otherwise. While the Company has taken, and continues to take, actions to reduce costs and mitigate the impact of COVID-19, these steps may not be suc</w:t>
      </w:r>
      <w:r>
        <w:rPr>
          <w:rFonts w:eastAsia="Times New Roman"/>
          <w:color w:val="000000"/>
          <w:sz w:val="20"/>
          <w:szCs w:val="20"/>
        </w:rPr>
        <w:t>cessful or adequate to offset declines in cash collections. If the Company's efforts to manage costs are not sufficient, or if cash collection efforts are further impacted by the COVID-19 pandemic, the Company may not be able to maintain compliance with th</w:t>
      </w:r>
      <w:r>
        <w:rPr>
          <w:rFonts w:eastAsia="Times New Roman"/>
          <w:color w:val="000000"/>
          <w:sz w:val="20"/>
          <w:szCs w:val="20"/>
        </w:rPr>
        <w:t>e affirmative and negative covenants in its senior secured convertible notes and Secured Term Note or to meet its financial obligations to vendors or others</w:t>
      </w:r>
      <w:r>
        <w:rPr>
          <w:rFonts w:eastAsia="Times New Roman"/>
          <w:color w:val="000000"/>
          <w:sz w:val="20"/>
          <w:szCs w:val="20"/>
        </w:rPr>
        <w:t>.</w:t>
      </w:r>
    </w:p>
    <w:p w:rsidR="00000000" w:rsidRDefault="007258AD">
      <w:pPr>
        <w:jc w:val="center"/>
        <w:divId w:val="173300717"/>
        <w:rPr>
          <w:rFonts w:eastAsia="Times New Roman"/>
        </w:rPr>
      </w:pPr>
      <w:r>
        <w:rPr>
          <w:rFonts w:eastAsia="Times New Roman"/>
          <w:color w:val="000000"/>
          <w:sz w:val="20"/>
          <w:szCs w:val="20"/>
        </w:rPr>
        <w:t>7</w:t>
      </w:r>
    </w:p>
    <w:p w:rsidR="00000000" w:rsidRDefault="007258AD">
      <w:pPr>
        <w:rPr>
          <w:rFonts w:eastAsia="Times New Roman"/>
        </w:rPr>
      </w:pPr>
      <w:r>
        <w:rPr>
          <w:rFonts w:eastAsia="Times New Roman"/>
        </w:rPr>
        <w:pict>
          <v:rect id="_x0000_i1034" style="width:0;height:1.5pt" o:hralign="center" o:hrstd="t" o:hr="t" fillcolor="#a0a0a0" stroked="f"/>
        </w:pict>
      </w:r>
    </w:p>
    <w:p w:rsidR="00000000" w:rsidRDefault="007258AD">
      <w:pPr>
        <w:jc w:val="both"/>
        <w:divId w:val="1180698842"/>
        <w:rPr>
          <w:rFonts w:eastAsia="Times New Roman"/>
        </w:rPr>
      </w:pPr>
      <w:hyperlink w:anchor="if3309f2850e6489fbcf3fb9276fba379_7" w:history="1">
        <w:r>
          <w:rPr>
            <w:rStyle w:val="a3"/>
            <w:rFonts w:eastAsia="Times New Roman"/>
            <w:sz w:val="20"/>
            <w:szCs w:val="20"/>
          </w:rPr>
          <w:t>Ta</w:t>
        </w:r>
        <w:r>
          <w:rPr>
            <w:rStyle w:val="a3"/>
            <w:rFonts w:eastAsia="Times New Roman"/>
            <w:sz w:val="20"/>
            <w:szCs w:val="20"/>
          </w:rPr>
          <w:t>ble of Contents</w:t>
        </w:r>
      </w:hyperlink>
    </w:p>
    <w:p w:rsidR="00000000" w:rsidRDefault="007258AD">
      <w:pPr>
        <w:jc w:val="both"/>
        <w:divId w:val="1180698842"/>
        <w:rPr>
          <w:rFonts w:eastAsia="Times New Roman"/>
        </w:rPr>
      </w:pPr>
    </w:p>
    <w:p w:rsidR="00000000" w:rsidRDefault="007258AD">
      <w:pPr>
        <w:jc w:val="both"/>
        <w:divId w:val="538862905"/>
        <w:rPr>
          <w:rFonts w:eastAsia="Times New Roman"/>
        </w:rPr>
      </w:pPr>
      <w:r>
        <w:rPr>
          <w:rFonts w:eastAsia="Times New Roman"/>
          <w:color w:val="000000"/>
          <w:sz w:val="20"/>
          <w:szCs w:val="20"/>
        </w:rPr>
        <w:t>On March 27, 2020, Congress enacted the Coronavirus Aid, Relief and Economic Security Act ("CARES Act"). The CARES Act, among other things, includes tax provisions for the deferral of certain employer payroll tax liabilities, refundable e</w:t>
      </w:r>
      <w:r>
        <w:rPr>
          <w:rFonts w:eastAsia="Times New Roman"/>
          <w:color w:val="000000"/>
          <w:sz w:val="20"/>
          <w:szCs w:val="20"/>
        </w:rPr>
        <w:t>mployee retention credits, rollbacks of Tax Cuts and Jobs Act ("TCJA") limitations on net operating losses, the acceleration of alternative minimum tax credit refunds, modifications to the net interest deduction limitations and technical corrections to tax</w:t>
      </w:r>
      <w:r>
        <w:rPr>
          <w:rFonts w:eastAsia="Times New Roman"/>
          <w:color w:val="000000"/>
          <w:sz w:val="20"/>
          <w:szCs w:val="20"/>
        </w:rPr>
        <w:t xml:space="preserve"> depreciation methods for qualified improvement property. The Company began deferring certain payroll taxes starting in April 2020, as permitted by the CARES Act. In addition, the Company began claiming the refundable employee retention credit created by t</w:t>
      </w:r>
      <w:r>
        <w:rPr>
          <w:rFonts w:eastAsia="Times New Roman"/>
          <w:color w:val="000000"/>
          <w:sz w:val="20"/>
          <w:szCs w:val="20"/>
        </w:rPr>
        <w:t>he CARES Act during 2020. The Company continues to assess the effect of the CARES Act and additional legislation and government guidance related to the COVID-19 pandemic</w:t>
      </w:r>
      <w:r>
        <w:rPr>
          <w:rFonts w:eastAsia="Times New Roman"/>
          <w:color w:val="000000"/>
          <w:sz w:val="20"/>
          <w:szCs w:val="20"/>
        </w:rPr>
        <w:t>.</w:t>
      </w:r>
    </w:p>
    <w:p w:rsidR="00000000" w:rsidRDefault="007258AD">
      <w:pPr>
        <w:jc w:val="both"/>
        <w:divId w:val="1835803206"/>
        <w:rPr>
          <w:rFonts w:eastAsia="Times New Roman"/>
        </w:rPr>
      </w:pPr>
      <w:r>
        <w:rPr>
          <w:rFonts w:eastAsia="Times New Roman"/>
          <w:color w:val="000000"/>
          <w:sz w:val="20"/>
          <w:szCs w:val="20"/>
        </w:rPr>
        <w:t>The Company's liquidity could be significantly affected if the Company is unable to m</w:t>
      </w:r>
      <w:r>
        <w:rPr>
          <w:rFonts w:eastAsia="Times New Roman"/>
          <w:color w:val="000000"/>
          <w:sz w:val="20"/>
          <w:szCs w:val="20"/>
        </w:rPr>
        <w:t>aintain compliance with the covenants in its senior secured convertible notes and Secured Term Note, including the minimum cash balance requirements described in</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 xml:space="preserve">. If the </w:t>
      </w:r>
      <w:r>
        <w:rPr>
          <w:rFonts w:eastAsia="Times New Roman"/>
          <w:color w:val="000000"/>
          <w:sz w:val="20"/>
          <w:szCs w:val="20"/>
        </w:rPr>
        <w:t>Company fails to comply with its covenants, it could be required to redeem the senior secured convertible notes and the Secured Term Note at a premium. As of June 30, 2020, there was $217.0 million outstanding under the senior secured convertible notes and</w:t>
      </w:r>
      <w:r>
        <w:rPr>
          <w:rFonts w:eastAsia="Times New Roman"/>
          <w:color w:val="000000"/>
          <w:sz w:val="20"/>
          <w:szCs w:val="20"/>
        </w:rPr>
        <w:t xml:space="preserve"> the Secured Term Note. The source of funds for any redemption of the notes would be the Company's available cash and other financing, to the extent available. Based on the Company's current plans, including continued cost management and other actions with</w:t>
      </w:r>
      <w:r>
        <w:rPr>
          <w:rFonts w:eastAsia="Times New Roman"/>
          <w:color w:val="000000"/>
          <w:sz w:val="20"/>
          <w:szCs w:val="20"/>
        </w:rPr>
        <w:t xml:space="preserve">in management's control, the Company does not anticipate a breach of these covenants that would result in an event of default under the senior secured convertible notes or the Secured Term Note; however, during the quarter ended June 30, 2020, the holders </w:t>
      </w:r>
      <w:r>
        <w:rPr>
          <w:rFonts w:eastAsia="Times New Roman"/>
          <w:color w:val="000000"/>
          <w:sz w:val="20"/>
          <w:szCs w:val="20"/>
        </w:rPr>
        <w:t>of the senior secured convertible notes questioned the Company's compliance with the minimum cash balance requirements therein. As noted, any breach of covenants under the senior secured convertible notes could have a material impact on the Company's liqui</w:t>
      </w:r>
      <w:r>
        <w:rPr>
          <w:rFonts w:eastAsia="Times New Roman"/>
          <w:color w:val="000000"/>
          <w:sz w:val="20"/>
          <w:szCs w:val="20"/>
        </w:rPr>
        <w:t>dity</w:t>
      </w:r>
      <w:r>
        <w:rPr>
          <w:rFonts w:eastAsia="Times New Roman"/>
          <w:color w:val="000000"/>
          <w:sz w:val="20"/>
          <w:szCs w:val="20"/>
        </w:rPr>
        <w:t>.</w:t>
      </w:r>
    </w:p>
    <w:p w:rsidR="00000000" w:rsidRDefault="007258AD">
      <w:pPr>
        <w:jc w:val="both"/>
        <w:divId w:val="1472794409"/>
        <w:rPr>
          <w:rFonts w:eastAsia="Times New Roman"/>
        </w:rPr>
      </w:pPr>
      <w:r>
        <w:rPr>
          <w:rFonts w:eastAsia="Times New Roman"/>
          <w:color w:val="000000"/>
          <w:sz w:val="20"/>
          <w:szCs w:val="20"/>
        </w:rPr>
        <w:t>The Company continues to be focused on maintaining flexibility in terms of sources, amounts, and timing of any potential financing, refinancing or strategic transaction, in order to best position the Company for future success. The Company believes t</w:t>
      </w:r>
      <w:r>
        <w:rPr>
          <w:rFonts w:eastAsia="Times New Roman"/>
          <w:color w:val="000000"/>
          <w:sz w:val="20"/>
          <w:szCs w:val="20"/>
        </w:rPr>
        <w:t>hat its sources of funding, after taking into account the financing transactions described above and the cost-reduction initiatives undertaken by management in 2020, will be sufficient to satisfy the Company's estimated liquidity needs and allow the Compan</w:t>
      </w:r>
      <w:r>
        <w:rPr>
          <w:rFonts w:eastAsia="Times New Roman"/>
          <w:color w:val="000000"/>
          <w:sz w:val="20"/>
          <w:szCs w:val="20"/>
        </w:rPr>
        <w:t>y to remain in compliance with its covenants under the senior secured convertible notes and the Secured Term Note for at least one year after the date that these financial statements are issued. However, the Company cannot predict with certainty the outcom</w:t>
      </w:r>
      <w:r>
        <w:rPr>
          <w:rFonts w:eastAsia="Times New Roman"/>
          <w:color w:val="000000"/>
          <w:sz w:val="20"/>
          <w:szCs w:val="20"/>
        </w:rPr>
        <w:t>e of its actions to generate liquidity, including the availability of additional financing, or whether such actions would generate the expected liquidity as currently planned. The Company also cannot predict the duration and magnitude of the COVID-19 pande</w:t>
      </w:r>
      <w:r>
        <w:rPr>
          <w:rFonts w:eastAsia="Times New Roman"/>
          <w:color w:val="000000"/>
          <w:sz w:val="20"/>
          <w:szCs w:val="20"/>
        </w:rPr>
        <w:t>mic or its effects on the Company's business or liquidity or any action that may be taken by the holders of the senior secured convertible notes, as described above</w:t>
      </w:r>
      <w:r>
        <w:rPr>
          <w:rFonts w:eastAsia="Times New Roman"/>
          <w:color w:val="000000"/>
          <w:sz w:val="20"/>
          <w:szCs w:val="20"/>
        </w:rPr>
        <w:t>.</w:t>
      </w:r>
    </w:p>
    <w:p w:rsidR="00000000" w:rsidRDefault="007258AD">
      <w:pPr>
        <w:jc w:val="center"/>
        <w:divId w:val="823426109"/>
        <w:rPr>
          <w:rFonts w:eastAsia="Times New Roman"/>
        </w:rPr>
      </w:pPr>
      <w:r>
        <w:rPr>
          <w:rFonts w:eastAsia="Times New Roman"/>
          <w:color w:val="000000"/>
          <w:sz w:val="20"/>
          <w:szCs w:val="20"/>
        </w:rPr>
        <w:t>8</w:t>
      </w:r>
    </w:p>
    <w:p w:rsidR="00000000" w:rsidRDefault="007258AD">
      <w:pPr>
        <w:rPr>
          <w:rFonts w:eastAsia="Times New Roman"/>
        </w:rPr>
      </w:pPr>
      <w:r>
        <w:rPr>
          <w:rFonts w:eastAsia="Times New Roman"/>
        </w:rPr>
        <w:pict>
          <v:rect id="_x0000_i1035" style="width:0;height:1.5pt" o:hralign="center" o:hrstd="t" o:hr="t" fillcolor="#a0a0a0" stroked="f"/>
        </w:pict>
      </w:r>
    </w:p>
    <w:p w:rsidR="00000000" w:rsidRDefault="007258AD">
      <w:pPr>
        <w:jc w:val="both"/>
        <w:divId w:val="25895195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258951951"/>
        <w:rPr>
          <w:rFonts w:eastAsia="Times New Roman"/>
        </w:rPr>
      </w:pPr>
    </w:p>
    <w:p w:rsidR="00000000" w:rsidRDefault="007258AD">
      <w:pPr>
        <w:ind w:hanging="360"/>
        <w:jc w:val="both"/>
        <w:divId w:val="301539154"/>
        <w:rPr>
          <w:rFonts w:eastAsia="Times New Roman"/>
        </w:rPr>
      </w:pPr>
      <w:r>
        <w:rPr>
          <w:rFonts w:eastAsia="Times New Roman"/>
          <w:b/>
          <w:bCs/>
          <w:color w:val="000000"/>
          <w:sz w:val="20"/>
          <w:szCs w:val="20"/>
        </w:rPr>
        <w:t>2</w:t>
      </w:r>
      <w:r>
        <w:rPr>
          <w:rFonts w:eastAsia="Times New Roman"/>
          <w:b/>
          <w:bCs/>
          <w:color w:val="000000"/>
          <w:sz w:val="20"/>
          <w:szCs w:val="20"/>
        </w:rPr>
        <w:t>.</w:t>
      </w:r>
      <w:r>
        <w:rPr>
          <w:rFonts w:eastAsia="Times New Roman"/>
          <w:b/>
          <w:bCs/>
          <w:color w:val="000000"/>
          <w:sz w:val="20"/>
          <w:szCs w:val="20"/>
        </w:rPr>
        <w:t>Summary of Significant Accounting Policie</w:t>
      </w:r>
      <w:r>
        <w:rPr>
          <w:rFonts w:eastAsia="Times New Roman"/>
          <w:b/>
          <w:bCs/>
          <w:color w:val="000000"/>
          <w:sz w:val="20"/>
          <w:szCs w:val="20"/>
        </w:rPr>
        <w:t>s</w:t>
      </w:r>
    </w:p>
    <w:p w:rsidR="00000000" w:rsidRDefault="007258AD">
      <w:pPr>
        <w:jc w:val="both"/>
        <w:divId w:val="297956906"/>
        <w:rPr>
          <w:rFonts w:eastAsia="Times New Roman"/>
        </w:rPr>
      </w:pPr>
      <w:r>
        <w:rPr>
          <w:rFonts w:eastAsia="Times New Roman"/>
          <w:b/>
          <w:bCs/>
          <w:i/>
          <w:iCs/>
          <w:color w:val="000000"/>
          <w:sz w:val="20"/>
          <w:szCs w:val="20"/>
        </w:rPr>
        <w:t>Basis of Presentation and Consolidatio</w:t>
      </w:r>
      <w:r>
        <w:rPr>
          <w:rFonts w:eastAsia="Times New Roman"/>
          <w:b/>
          <w:bCs/>
          <w:i/>
          <w:iCs/>
          <w:color w:val="000000"/>
          <w:sz w:val="20"/>
          <w:szCs w:val="20"/>
        </w:rPr>
        <w:t>n</w:t>
      </w:r>
    </w:p>
    <w:p w:rsidR="00000000" w:rsidRDefault="007258AD">
      <w:pPr>
        <w:jc w:val="both"/>
        <w:divId w:val="1336490939"/>
        <w:rPr>
          <w:rFonts w:eastAsia="Times New Roman"/>
        </w:rPr>
      </w:pPr>
      <w:r>
        <w:rPr>
          <w:rFonts w:eastAsia="Times New Roman"/>
          <w:color w:val="000000"/>
          <w:sz w:val="20"/>
          <w:szCs w:val="20"/>
        </w:rPr>
        <w:t>The accompanying Condensed Consolidated Financial Statements include the accounts of the Company and its wholly-owned domestic and foreign subsidiaries. All intercompany transactions and balances are eliminated upon consolidation</w:t>
      </w:r>
      <w:r>
        <w:rPr>
          <w:rFonts w:eastAsia="Times New Roman"/>
          <w:color w:val="000000"/>
          <w:sz w:val="20"/>
          <w:szCs w:val="20"/>
        </w:rPr>
        <w:t>.</w:t>
      </w:r>
    </w:p>
    <w:p w:rsidR="00000000" w:rsidRDefault="007258AD">
      <w:pPr>
        <w:jc w:val="both"/>
        <w:divId w:val="469901615"/>
        <w:rPr>
          <w:rFonts w:eastAsia="Times New Roman"/>
        </w:rPr>
      </w:pPr>
      <w:r>
        <w:rPr>
          <w:rFonts w:eastAsia="Times New Roman"/>
          <w:b/>
          <w:bCs/>
          <w:i/>
          <w:iCs/>
          <w:color w:val="000000"/>
          <w:sz w:val="20"/>
          <w:szCs w:val="20"/>
        </w:rPr>
        <w:t>Reclassificatio</w:t>
      </w:r>
      <w:r>
        <w:rPr>
          <w:rFonts w:eastAsia="Times New Roman"/>
          <w:b/>
          <w:bCs/>
          <w:i/>
          <w:iCs/>
          <w:color w:val="000000"/>
          <w:sz w:val="20"/>
          <w:szCs w:val="20"/>
        </w:rPr>
        <w:t>n</w:t>
      </w:r>
    </w:p>
    <w:p w:rsidR="00000000" w:rsidRDefault="007258AD">
      <w:pPr>
        <w:jc w:val="both"/>
        <w:divId w:val="281083991"/>
        <w:rPr>
          <w:rFonts w:eastAsia="Times New Roman"/>
        </w:rPr>
      </w:pPr>
      <w:r>
        <w:rPr>
          <w:rFonts w:eastAsia="Times New Roman"/>
          <w:color w:val="000000"/>
          <w:sz w:val="20"/>
          <w:szCs w:val="20"/>
        </w:rPr>
        <w:t>Certain amounts in the prior year financial statements have been reclassified to conform to the current quarter presentation. Specifically, current accrued litigation settlements have been aggregated within other current liabilities on the</w:t>
      </w:r>
      <w:r>
        <w:rPr>
          <w:rFonts w:eastAsia="Times New Roman"/>
          <w:color w:val="000000"/>
          <w:sz w:val="20"/>
          <w:szCs w:val="20"/>
        </w:rPr>
        <w:t xml:space="preserve"> Condensed Consolidated Balance Sheets. In addition, non-current contract liability is now separately reported from other non-current liabilities on the Condensed Consolidated Balance Sheets</w:t>
      </w:r>
      <w:r>
        <w:rPr>
          <w:rFonts w:eastAsia="Times New Roman"/>
          <w:color w:val="000000"/>
          <w:sz w:val="20"/>
          <w:szCs w:val="20"/>
        </w:rPr>
        <w:t>.</w:t>
      </w:r>
    </w:p>
    <w:p w:rsidR="00000000" w:rsidRDefault="007258AD">
      <w:pPr>
        <w:jc w:val="both"/>
        <w:divId w:val="609360844"/>
        <w:rPr>
          <w:rFonts w:eastAsia="Times New Roman"/>
        </w:rPr>
      </w:pPr>
      <w:r>
        <w:rPr>
          <w:rFonts w:eastAsia="Times New Roman"/>
          <w:b/>
          <w:bCs/>
          <w:i/>
          <w:iCs/>
          <w:color w:val="000000"/>
          <w:sz w:val="20"/>
          <w:szCs w:val="20"/>
        </w:rPr>
        <w:t>Unaudited Interim Financial Informatio</w:t>
      </w:r>
      <w:r>
        <w:rPr>
          <w:rFonts w:eastAsia="Times New Roman"/>
          <w:b/>
          <w:bCs/>
          <w:i/>
          <w:iCs/>
          <w:color w:val="000000"/>
          <w:sz w:val="20"/>
          <w:szCs w:val="20"/>
        </w:rPr>
        <w:t>n</w:t>
      </w:r>
    </w:p>
    <w:p w:rsidR="00000000" w:rsidRDefault="007258AD">
      <w:pPr>
        <w:jc w:val="both"/>
        <w:divId w:val="396607"/>
        <w:rPr>
          <w:rFonts w:eastAsia="Times New Roman"/>
        </w:rPr>
      </w:pPr>
      <w:r>
        <w:rPr>
          <w:rFonts w:eastAsia="Times New Roman"/>
          <w:color w:val="000000"/>
          <w:sz w:val="20"/>
          <w:szCs w:val="20"/>
        </w:rPr>
        <w:t>The interim Condensed Co</w:t>
      </w:r>
      <w:r>
        <w:rPr>
          <w:rFonts w:eastAsia="Times New Roman"/>
          <w:color w:val="000000"/>
          <w:sz w:val="20"/>
          <w:szCs w:val="20"/>
        </w:rPr>
        <w:t>nsolidated Financial Statements included in this quarterly report have been prepared by the Company and are unaudited, pursuant to the rules and regulations of the United States Securities and Exchange Commission ("SEC"). Certain information and footnote d</w:t>
      </w:r>
      <w:r>
        <w:rPr>
          <w:rFonts w:eastAsia="Times New Roman"/>
          <w:color w:val="000000"/>
          <w:sz w:val="20"/>
          <w:szCs w:val="20"/>
        </w:rPr>
        <w:t>isclosures normally included in financial statements prepared in accordance with generally accepted accounting principles in the United States ("GAAP") have been condensed or omitted pursuant to such rules and regulations. However, the Company believes tha</w:t>
      </w:r>
      <w:r>
        <w:rPr>
          <w:rFonts w:eastAsia="Times New Roman"/>
          <w:color w:val="000000"/>
          <w:sz w:val="20"/>
          <w:szCs w:val="20"/>
        </w:rPr>
        <w:t>t the disclosures contained in this quarterly report comply with the requirements of Section 13(a) of the Securities Exchange Act of 1934, as amended (the "Exchange Act"), for a quarterly report on Form 10-Q and are adequate to make the information present</w:t>
      </w:r>
      <w:r>
        <w:rPr>
          <w:rFonts w:eastAsia="Times New Roman"/>
          <w:color w:val="000000"/>
          <w:sz w:val="20"/>
          <w:szCs w:val="20"/>
        </w:rPr>
        <w:t>ed not misleading. The interim Condensed Consolidated Financial Statements included herein reflect all adjustments (consisting of normal recurring adjustments) which are, in the opinion of management, necessary for a fair presentation of the financial posi</w:t>
      </w:r>
      <w:r>
        <w:rPr>
          <w:rFonts w:eastAsia="Times New Roman"/>
          <w:color w:val="000000"/>
          <w:sz w:val="20"/>
          <w:szCs w:val="20"/>
        </w:rPr>
        <w:t>tion, results of operations and cash flows for the interim periods presented. These interim Condensed Consolidated Financial Statements should be read in conjunction with the Consolidated Financial Statements and Notes thereto contained in the Company's An</w:t>
      </w:r>
      <w:r>
        <w:rPr>
          <w:rFonts w:eastAsia="Times New Roman"/>
          <w:color w:val="000000"/>
          <w:sz w:val="20"/>
          <w:szCs w:val="20"/>
        </w:rPr>
        <w:t>nual Report on</w:t>
      </w:r>
      <w:r>
        <w:rPr>
          <w:rFonts w:eastAsia="Times New Roman"/>
          <w:color w:val="000000"/>
          <w:sz w:val="20"/>
          <w:szCs w:val="20"/>
        </w:rPr>
        <w:t xml:space="preserve"> </w:t>
      </w:r>
      <w:hyperlink r:id="rId6" w:history="1">
        <w:r>
          <w:rPr>
            <w:rStyle w:val="a3"/>
            <w:rFonts w:eastAsia="Times New Roman"/>
            <w:sz w:val="20"/>
            <w:szCs w:val="20"/>
          </w:rPr>
          <w:t>Form 10-K</w:t>
        </w:r>
      </w:hyperlink>
      <w:r>
        <w:rPr>
          <w:rFonts w:eastAsia="Times New Roman"/>
          <w:color w:val="000000"/>
          <w:sz w:val="20"/>
          <w:szCs w:val="20"/>
        </w:rPr>
        <w:t xml:space="preserve"> for the year ended December 31, 2019 (the "2019 10-K"). The Condensed Consolidated Results of Operations for the three and six mon</w:t>
      </w:r>
      <w:r>
        <w:rPr>
          <w:rFonts w:eastAsia="Times New Roman"/>
          <w:color w:val="000000"/>
          <w:sz w:val="20"/>
          <w:szCs w:val="20"/>
        </w:rPr>
        <w:t>ths ended June 30, 2020 are not necessarily indicative of the results to be anticipated for the entire year ending December 31, 2020 or thereafter. All references to June 30, 2020 and 2019 in the Notes to Condensed Consolidated Financial Statements are una</w:t>
      </w:r>
      <w:r>
        <w:rPr>
          <w:rFonts w:eastAsia="Times New Roman"/>
          <w:color w:val="000000"/>
          <w:sz w:val="20"/>
          <w:szCs w:val="20"/>
        </w:rPr>
        <w:t>udited</w:t>
      </w:r>
      <w:r>
        <w:rPr>
          <w:rFonts w:eastAsia="Times New Roman"/>
          <w:color w:val="000000"/>
          <w:sz w:val="20"/>
          <w:szCs w:val="20"/>
        </w:rPr>
        <w:t>.</w:t>
      </w:r>
    </w:p>
    <w:p w:rsidR="00000000" w:rsidRDefault="007258AD">
      <w:pPr>
        <w:jc w:val="both"/>
        <w:divId w:val="794833989"/>
        <w:rPr>
          <w:rFonts w:eastAsia="Times New Roman"/>
        </w:rPr>
      </w:pPr>
      <w:r>
        <w:rPr>
          <w:rFonts w:eastAsia="Times New Roman"/>
          <w:b/>
          <w:bCs/>
          <w:i/>
          <w:iCs/>
          <w:color w:val="000000"/>
          <w:sz w:val="20"/>
          <w:szCs w:val="20"/>
        </w:rPr>
        <w:t>Use of Estimates and Judgments in the Preparation of the Condensed Consolidated Financial Statement</w:t>
      </w:r>
      <w:r>
        <w:rPr>
          <w:rFonts w:eastAsia="Times New Roman"/>
          <w:b/>
          <w:bCs/>
          <w:i/>
          <w:iCs/>
          <w:color w:val="000000"/>
          <w:sz w:val="20"/>
          <w:szCs w:val="20"/>
        </w:rPr>
        <w:t>s</w:t>
      </w:r>
    </w:p>
    <w:p w:rsidR="00000000" w:rsidRDefault="007258AD">
      <w:pPr>
        <w:jc w:val="both"/>
        <w:divId w:val="1248618450"/>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w:t>
      </w:r>
      <w:r>
        <w:rPr>
          <w:rFonts w:eastAsia="Times New Roman"/>
          <w:color w:val="000000"/>
          <w:sz w:val="20"/>
          <w:szCs w:val="20"/>
        </w:rPr>
        <w:t>nts of assets and liabilities and the reported amounts of revenue and expense during the reporting periods. Significant estimates and judgments are inherent in the analysis and the measurement of management's standalone selling price, principal versus agen</w:t>
      </w:r>
      <w:r>
        <w:rPr>
          <w:rFonts w:eastAsia="Times New Roman"/>
          <w:color w:val="000000"/>
          <w:sz w:val="20"/>
          <w:szCs w:val="20"/>
        </w:rPr>
        <w:t xml:space="preserve">t revenue recognition, determination of performance obligations, determination of transaction price, including the determination of variable consideration and allocation of transaction price to performance obligations, deferred tax assets and liabilities, </w:t>
      </w:r>
      <w:r>
        <w:rPr>
          <w:rFonts w:eastAsia="Times New Roman"/>
          <w:color w:val="000000"/>
          <w:sz w:val="20"/>
          <w:szCs w:val="20"/>
        </w:rPr>
        <w:t>including the identification and quantification of income tax liabilities due to uncertain tax positions, the valuation and recoverability of goodwill, intangible and other long-lived assets, the determination of appropriate discount rates for lease accoun</w:t>
      </w:r>
      <w:r>
        <w:rPr>
          <w:rFonts w:eastAsia="Times New Roman"/>
          <w:color w:val="000000"/>
          <w:sz w:val="20"/>
          <w:szCs w:val="20"/>
        </w:rPr>
        <w:t>ting, the probability of exercising either lease renewal or termination clauses, the assessment of potential loss from contingencies, the fair value determination of financing derivative liabilities and warrants, the allowance for doubtful accounts, and va</w:t>
      </w:r>
      <w:r>
        <w:rPr>
          <w:rFonts w:eastAsia="Times New Roman"/>
          <w:color w:val="000000"/>
          <w:sz w:val="20"/>
          <w:szCs w:val="20"/>
        </w:rPr>
        <w:t>luation of options, performance-based and market-based stock awards. Management bases its estimates and assumptions on historical experience and on various other factors that are believed to be reasonable under the circumstances. For the three and six mont</w:t>
      </w:r>
      <w:r>
        <w:rPr>
          <w:rFonts w:eastAsia="Times New Roman"/>
          <w:color w:val="000000"/>
          <w:sz w:val="20"/>
          <w:szCs w:val="20"/>
        </w:rPr>
        <w:t xml:space="preserve">hs ended June 30, 2020, management specifically considered the impact of the COVID-19 pandemic and related matters in evaluating the Company's goodwill, intangible and other long-lived assets, lease accounting, contingencies, fair value determinations and </w:t>
      </w:r>
      <w:r>
        <w:rPr>
          <w:rFonts w:eastAsia="Times New Roman"/>
          <w:color w:val="000000"/>
          <w:sz w:val="20"/>
          <w:szCs w:val="20"/>
        </w:rPr>
        <w:t>allowance for doubtful accounts.</w:t>
      </w:r>
      <w:r>
        <w:rPr>
          <w:rFonts w:eastAsia="Times New Roman"/>
          <w:color w:val="000000"/>
          <w:sz w:val="20"/>
          <w:szCs w:val="20"/>
        </w:rPr>
        <w:t xml:space="preserve"> </w:t>
      </w:r>
    </w:p>
    <w:p w:rsidR="00000000" w:rsidRDefault="007258AD">
      <w:pPr>
        <w:jc w:val="both"/>
        <w:divId w:val="2000041749"/>
        <w:rPr>
          <w:rFonts w:eastAsia="Times New Roman"/>
        </w:rPr>
      </w:pPr>
      <w:r>
        <w:rPr>
          <w:rFonts w:eastAsia="Times New Roman"/>
          <w:color w:val="000000"/>
          <w:sz w:val="20"/>
          <w:szCs w:val="20"/>
        </w:rPr>
        <w:t>Due to the inherent uncertainty involved in making estimates, particularly in the current environment, actual results reported in future periods may be affected by changes in those estimates. The Company evaluates its esti</w:t>
      </w:r>
      <w:r>
        <w:rPr>
          <w:rFonts w:eastAsia="Times New Roman"/>
          <w:color w:val="000000"/>
          <w:sz w:val="20"/>
          <w:szCs w:val="20"/>
        </w:rPr>
        <w:t>mates and assumptions on an ongoing basis</w:t>
      </w:r>
      <w:r>
        <w:rPr>
          <w:rFonts w:eastAsia="Times New Roman"/>
          <w:color w:val="000000"/>
          <w:sz w:val="20"/>
          <w:szCs w:val="20"/>
        </w:rPr>
        <w:t>.</w:t>
      </w:r>
    </w:p>
    <w:p w:rsidR="00000000" w:rsidRDefault="007258AD">
      <w:pPr>
        <w:jc w:val="both"/>
        <w:divId w:val="1162938126"/>
        <w:rPr>
          <w:rFonts w:eastAsia="Times New Roman"/>
        </w:rPr>
      </w:pPr>
      <w:r>
        <w:rPr>
          <w:rFonts w:eastAsia="Times New Roman"/>
          <w:b/>
          <w:bCs/>
          <w:i/>
          <w:iCs/>
          <w:color w:val="000000"/>
          <w:sz w:val="20"/>
          <w:szCs w:val="20"/>
        </w:rPr>
        <w:t>Other Income (Expense), Ne</w:t>
      </w:r>
      <w:r>
        <w:rPr>
          <w:rFonts w:eastAsia="Times New Roman"/>
          <w:b/>
          <w:bCs/>
          <w:i/>
          <w:iCs/>
          <w:color w:val="000000"/>
          <w:sz w:val="20"/>
          <w:szCs w:val="20"/>
        </w:rPr>
        <w:t>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61"/>
        <w:gridCol w:w="37"/>
        <w:gridCol w:w="125"/>
        <w:gridCol w:w="813"/>
        <w:gridCol w:w="80"/>
        <w:gridCol w:w="36"/>
        <w:gridCol w:w="36"/>
        <w:gridCol w:w="36"/>
        <w:gridCol w:w="125"/>
        <w:gridCol w:w="827"/>
        <w:gridCol w:w="80"/>
        <w:gridCol w:w="36"/>
        <w:gridCol w:w="36"/>
        <w:gridCol w:w="36"/>
        <w:gridCol w:w="125"/>
        <w:gridCol w:w="827"/>
        <w:gridCol w:w="80"/>
        <w:gridCol w:w="36"/>
        <w:gridCol w:w="36"/>
        <w:gridCol w:w="36"/>
        <w:gridCol w:w="125"/>
        <w:gridCol w:w="827"/>
        <w:gridCol w:w="80"/>
        <w:gridCol w:w="36"/>
        <w:gridCol w:w="36"/>
        <w:gridCol w:w="36"/>
        <w:gridCol w:w="36"/>
        <w:gridCol w:w="36"/>
        <w:gridCol w:w="36"/>
        <w:gridCol w:w="36"/>
        <w:gridCol w:w="36"/>
        <w:gridCol w:w="36"/>
        <w:gridCol w:w="36"/>
        <w:gridCol w:w="36"/>
        <w:gridCol w:w="36"/>
      </w:tblGrid>
      <w:tr w:rsidR="00000000">
        <w:trPr>
          <w:gridAfter w:val="12"/>
          <w:divId w:val="2034921881"/>
          <w:jc w:val="center"/>
        </w:trPr>
        <w:tc>
          <w:tcPr>
            <w:tcW w:w="50" w:type="pct"/>
            <w:vAlign w:val="center"/>
            <w:hideMark/>
          </w:tcPr>
          <w:p w:rsidR="00000000" w:rsidRDefault="007258AD">
            <w:pPr>
              <w:jc w:val="both"/>
              <w:rPr>
                <w:rFonts w:eastAsia="Times New Roman"/>
              </w:rPr>
            </w:pPr>
          </w:p>
        </w:tc>
        <w:tc>
          <w:tcPr>
            <w:tcW w:w="217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034921881"/>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2034921881"/>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3492188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financing derivative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(3,000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3492188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warrants liabilit</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3492188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investment in equity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34921881"/>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3492188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Total other income (expense), ne</w:t>
            </w:r>
            <w:r>
              <w:rPr>
                <w:rFonts w:eastAsia="Times New Roman"/>
                <w:b/>
                <w:bCs/>
                <w:color w:val="000000"/>
                <w:sz w:val="18"/>
                <w:szCs w:val="18"/>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1,477</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(3,081</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8,671</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(112</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divId w:val="566109437"/>
        <w:rPr>
          <w:rFonts w:eastAsia="Times New Roman"/>
        </w:rPr>
      </w:pPr>
      <w:r>
        <w:rPr>
          <w:rFonts w:eastAsia="Times New Roman"/>
          <w:color w:val="000000"/>
          <w:sz w:val="20"/>
          <w:szCs w:val="20"/>
        </w:rPr>
        <w:t>9</w:t>
      </w:r>
    </w:p>
    <w:p w:rsidR="00000000" w:rsidRDefault="007258AD">
      <w:pPr>
        <w:rPr>
          <w:rFonts w:eastAsia="Times New Roman"/>
        </w:rPr>
      </w:pPr>
      <w:r>
        <w:rPr>
          <w:rFonts w:eastAsia="Times New Roman"/>
        </w:rPr>
        <w:pict>
          <v:rect id="_x0000_i1036" style="width:0;height:1.5pt" o:hralign="center" o:hrstd="t" o:hr="t" fillcolor="#a0a0a0" stroked="f"/>
        </w:pict>
      </w:r>
    </w:p>
    <w:p w:rsidR="00000000" w:rsidRDefault="007258AD">
      <w:pPr>
        <w:jc w:val="both"/>
        <w:divId w:val="967786005"/>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967786005"/>
        <w:rPr>
          <w:rFonts w:eastAsia="Times New Roman"/>
        </w:rPr>
      </w:pPr>
    </w:p>
    <w:p w:rsidR="00000000" w:rsidRDefault="007258AD">
      <w:pPr>
        <w:jc w:val="both"/>
        <w:divId w:val="1280065493"/>
        <w:rPr>
          <w:rFonts w:eastAsia="Times New Roman"/>
        </w:rPr>
      </w:pPr>
      <w:r>
        <w:rPr>
          <w:rFonts w:eastAsia="Times New Roman"/>
          <w:b/>
          <w:bCs/>
          <w:i/>
          <w:iCs/>
          <w:color w:val="000000"/>
          <w:sz w:val="20"/>
          <w:szCs w:val="20"/>
        </w:rPr>
        <w:t>Loss Per Shar</w:t>
      </w:r>
      <w:r>
        <w:rPr>
          <w:rFonts w:eastAsia="Times New Roman"/>
          <w:b/>
          <w:bCs/>
          <w:i/>
          <w:iCs/>
          <w:color w:val="000000"/>
          <w:sz w:val="20"/>
          <w:szCs w:val="20"/>
        </w:rPr>
        <w:t>e</w:t>
      </w:r>
    </w:p>
    <w:p w:rsidR="00000000" w:rsidRDefault="007258AD">
      <w:pPr>
        <w:jc w:val="both"/>
        <w:divId w:val="1501196866"/>
        <w:rPr>
          <w:rFonts w:eastAsia="Times New Roman"/>
        </w:rPr>
      </w:pPr>
      <w:r>
        <w:rPr>
          <w:rFonts w:eastAsia="Times New Roman"/>
          <w:color w:val="000000"/>
          <w:sz w:val="20"/>
          <w:szCs w:val="20"/>
        </w:rPr>
        <w:t>Basic net loss </w:t>
      </w:r>
      <w:r>
        <w:rPr>
          <w:rFonts w:eastAsia="Times New Roman"/>
          <w:color w:val="000000"/>
          <w:sz w:val="20"/>
          <w:szCs w:val="20"/>
        </w:rPr>
        <w:t>per common share excludes dilution for potential Common Stock issuances and is computed by dividing net loss by the weighted-average number of shares of Common Stock outstanding for the period. 250,000 shares of Common Stock issuable upon the exercise of w</w:t>
      </w:r>
      <w:r>
        <w:rPr>
          <w:rFonts w:eastAsia="Times New Roman"/>
          <w:color w:val="000000"/>
          <w:sz w:val="20"/>
          <w:szCs w:val="20"/>
        </w:rPr>
        <w:t>arrants held by Starboard ("penny warrants") were included in the number of outstanding shares used for the computation of basic net loss per share prior to the exercise of those warrants on April 3, 2019. In periods where the Company reports a net loss, t</w:t>
      </w:r>
      <w:r>
        <w:rPr>
          <w:rFonts w:eastAsia="Times New Roman"/>
          <w:color w:val="000000"/>
          <w:sz w:val="20"/>
          <w:szCs w:val="20"/>
        </w:rPr>
        <w:t>he effect of anti-dilutive stock options, stock appreciation rights, restricted stock units, deferred stock units, senior secured convertible notes and warrants are excluded and diluted net loss per share is equal to basic loss per share.</w:t>
      </w:r>
      <w:r>
        <w:rPr>
          <w:rFonts w:eastAsia="Times New Roman"/>
          <w:color w:val="000000"/>
          <w:sz w:val="20"/>
          <w:szCs w:val="20"/>
        </w:rPr>
        <w:t xml:space="preserve"> </w:t>
      </w:r>
    </w:p>
    <w:p w:rsidR="00000000" w:rsidRDefault="007258AD">
      <w:pPr>
        <w:jc w:val="both"/>
        <w:divId w:val="1986229474"/>
        <w:rPr>
          <w:rFonts w:eastAsia="Times New Roman"/>
        </w:rPr>
      </w:pPr>
      <w:r>
        <w:rPr>
          <w:rFonts w:eastAsia="Times New Roman"/>
          <w:color w:val="000000"/>
          <w:sz w:val="20"/>
          <w:szCs w:val="20"/>
        </w:rPr>
        <w:t>The following is</w:t>
      </w:r>
      <w:r>
        <w:rPr>
          <w:rFonts w:eastAsia="Times New Roman"/>
          <w:color w:val="000000"/>
          <w:sz w:val="20"/>
          <w:szCs w:val="20"/>
        </w:rPr>
        <w:t xml:space="preserve"> a summary of the Common Stock equivalents for the securities outstanding during the respective periods that have been excluded from the computation of diluted net loss per common share, as their effect would be anti-dilutive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3292"/>
        <w:gridCol w:w="56"/>
        <w:gridCol w:w="72"/>
        <w:gridCol w:w="815"/>
        <w:gridCol w:w="81"/>
        <w:gridCol w:w="36"/>
        <w:gridCol w:w="36"/>
        <w:gridCol w:w="36"/>
        <w:gridCol w:w="65"/>
        <w:gridCol w:w="822"/>
        <w:gridCol w:w="81"/>
        <w:gridCol w:w="36"/>
        <w:gridCol w:w="36"/>
        <w:gridCol w:w="36"/>
        <w:gridCol w:w="72"/>
        <w:gridCol w:w="815"/>
        <w:gridCol w:w="80"/>
        <w:gridCol w:w="36"/>
        <w:gridCol w:w="36"/>
        <w:gridCol w:w="36"/>
        <w:gridCol w:w="65"/>
        <w:gridCol w:w="822"/>
        <w:gridCol w:w="81"/>
        <w:gridCol w:w="82"/>
        <w:gridCol w:w="82"/>
        <w:gridCol w:w="82"/>
        <w:gridCol w:w="82"/>
        <w:gridCol w:w="82"/>
        <w:gridCol w:w="82"/>
        <w:gridCol w:w="36"/>
        <w:gridCol w:w="36"/>
        <w:gridCol w:w="36"/>
        <w:gridCol w:w="36"/>
        <w:gridCol w:w="36"/>
        <w:gridCol w:w="36"/>
      </w:tblGrid>
      <w:tr w:rsidR="00000000">
        <w:trPr>
          <w:gridAfter w:val="12"/>
          <w:divId w:val="430397626"/>
          <w:jc w:val="center"/>
        </w:trPr>
        <w:tc>
          <w:tcPr>
            <w:tcW w:w="50" w:type="pct"/>
            <w:vAlign w:val="center"/>
            <w:hideMark/>
          </w:tcPr>
          <w:p w:rsidR="00000000" w:rsidRDefault="007258AD">
            <w:pPr>
              <w:jc w:val="both"/>
              <w:rPr>
                <w:rFonts w:eastAsia="Times New Roman"/>
              </w:rPr>
            </w:pPr>
          </w:p>
        </w:tc>
        <w:tc>
          <w:tcPr>
            <w:tcW w:w="217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430397626"/>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430397626"/>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30397626"/>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Stock options, stock appreciation rights, restricted stock units, deferred stock units, senior secured convertible notes and warrant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16,719,624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9,209,577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16,564,285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8,511,550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853254913"/>
        <w:rPr>
          <w:rFonts w:eastAsia="Times New Roman"/>
        </w:rPr>
      </w:pPr>
      <w:r>
        <w:rPr>
          <w:rFonts w:eastAsia="Times New Roman"/>
          <w:b/>
          <w:bCs/>
          <w:i/>
          <w:iCs/>
          <w:color w:val="000000"/>
          <w:sz w:val="20"/>
          <w:szCs w:val="20"/>
        </w:rPr>
        <w:t>Goodwill and Intangible Asset</w:t>
      </w:r>
      <w:r>
        <w:rPr>
          <w:rFonts w:eastAsia="Times New Roman"/>
          <w:b/>
          <w:bCs/>
          <w:i/>
          <w:iCs/>
          <w:color w:val="000000"/>
          <w:sz w:val="20"/>
          <w:szCs w:val="20"/>
        </w:rPr>
        <w:t>s</w:t>
      </w:r>
    </w:p>
    <w:p w:rsidR="00000000" w:rsidRDefault="007258AD">
      <w:pPr>
        <w:jc w:val="both"/>
        <w:divId w:val="1891384384"/>
        <w:rPr>
          <w:rFonts w:eastAsia="Times New Roman"/>
        </w:rPr>
      </w:pPr>
      <w:r>
        <w:rPr>
          <w:rFonts w:eastAsia="Times New Roman"/>
          <w:color w:val="000000"/>
          <w:sz w:val="20"/>
          <w:szCs w:val="20"/>
        </w:rPr>
        <w:t>In June 2019, the Company concluded that it was more likely than not that the estimated fair value of its reporting unit was less than its carrying value. In its assessment, the Company considered the sustained decline in the Company's stock price and mark</w:t>
      </w:r>
      <w:r>
        <w:rPr>
          <w:rFonts w:eastAsia="Times New Roman"/>
          <w:color w:val="000000"/>
          <w:sz w:val="20"/>
          <w:szCs w:val="20"/>
        </w:rPr>
        <w:t>et capitalization, changes in management, and lower revenue, among other factors. The Company performed a quantitative goodwill impairment test using a discounted cash flow model, supported by a market approach. The Company's reporting unit failed the good</w:t>
      </w:r>
      <w:r>
        <w:rPr>
          <w:rFonts w:eastAsia="Times New Roman"/>
          <w:color w:val="000000"/>
          <w:sz w:val="20"/>
          <w:szCs w:val="20"/>
        </w:rPr>
        <w:t>will impairment test; and as a result the Company recorded a $224.3 million non-cash impairment charge</w:t>
      </w:r>
      <w:r>
        <w:rPr>
          <w:rFonts w:eastAsia="Times New Roman"/>
          <w:color w:val="000000"/>
          <w:sz w:val="20"/>
          <w:szCs w:val="20"/>
        </w:rPr>
        <w:t>.</w:t>
      </w:r>
    </w:p>
    <w:p w:rsidR="00000000" w:rsidRDefault="007258AD">
      <w:pPr>
        <w:jc w:val="both"/>
        <w:divId w:val="1910382629"/>
        <w:rPr>
          <w:rFonts w:eastAsia="Times New Roman"/>
        </w:rPr>
      </w:pPr>
      <w:r>
        <w:rPr>
          <w:rFonts w:eastAsia="Times New Roman"/>
          <w:color w:val="000000"/>
          <w:sz w:val="20"/>
          <w:szCs w:val="20"/>
        </w:rPr>
        <w:t>Also in June 2019, the Company recorded a $17.3 million non-cash impairment charge for the full carrying value of its strategic alliance intangible asse</w:t>
      </w:r>
      <w:r>
        <w:rPr>
          <w:rFonts w:eastAsia="Times New Roman"/>
          <w:color w:val="000000"/>
          <w:sz w:val="20"/>
          <w:szCs w:val="20"/>
        </w:rPr>
        <w:t>t. Changes in the Company's projected revenue in certain non-U.S. geographic markets due to the changing international competitive landscape as well as significant reductions in international staffing during the quarter, resulted in a change in the Company</w:t>
      </w:r>
      <w:r>
        <w:rPr>
          <w:rFonts w:eastAsia="Times New Roman"/>
          <w:color w:val="000000"/>
          <w:sz w:val="20"/>
          <w:szCs w:val="20"/>
        </w:rPr>
        <w:t>'s long-term view of the viability of the intangible asset. As such, the Company's assessment yielded that the benefit of the alliance would not be realized. The fair value of the strategic alliance intangible asset was estimated using an income approach</w:t>
      </w:r>
      <w:r>
        <w:rPr>
          <w:rFonts w:eastAsia="Times New Roman"/>
          <w:color w:val="000000"/>
          <w:sz w:val="20"/>
          <w:szCs w:val="20"/>
        </w:rPr>
        <w:t>.</w:t>
      </w:r>
    </w:p>
    <w:p w:rsidR="00000000" w:rsidRDefault="007258AD">
      <w:pPr>
        <w:jc w:val="both"/>
        <w:divId w:val="951862700"/>
        <w:rPr>
          <w:rFonts w:eastAsia="Times New Roman"/>
        </w:rPr>
      </w:pPr>
      <w:r>
        <w:rPr>
          <w:rFonts w:eastAsia="Times New Roman"/>
          <w:color w:val="000000"/>
          <w:sz w:val="20"/>
          <w:szCs w:val="20"/>
        </w:rPr>
        <w:t>There were no comparable charges in the three or six months ended June 30, 2020</w:t>
      </w:r>
      <w:r>
        <w:rPr>
          <w:rFonts w:eastAsia="Times New Roman"/>
          <w:color w:val="000000"/>
          <w:sz w:val="20"/>
          <w:szCs w:val="20"/>
        </w:rPr>
        <w:t>.</w:t>
      </w:r>
    </w:p>
    <w:p w:rsidR="00000000" w:rsidRDefault="007258AD">
      <w:pPr>
        <w:jc w:val="both"/>
        <w:divId w:val="1821195278"/>
        <w:rPr>
          <w:rFonts w:eastAsia="Times New Roman"/>
        </w:rPr>
      </w:pPr>
      <w:r>
        <w:rPr>
          <w:rFonts w:eastAsia="Times New Roman"/>
          <w:b/>
          <w:bCs/>
          <w:i/>
          <w:iCs/>
          <w:color w:val="000000"/>
          <w:sz w:val="20"/>
          <w:szCs w:val="20"/>
        </w:rPr>
        <w:t>Impairment of Right-of-use ("ROU") and Long-lived Asset</w:t>
      </w:r>
      <w:r>
        <w:rPr>
          <w:rFonts w:eastAsia="Times New Roman"/>
          <w:b/>
          <w:bCs/>
          <w:i/>
          <w:iCs/>
          <w:color w:val="000000"/>
          <w:sz w:val="20"/>
          <w:szCs w:val="20"/>
        </w:rPr>
        <w:t>s</w:t>
      </w:r>
    </w:p>
    <w:p w:rsidR="00000000" w:rsidRDefault="007258AD">
      <w:pPr>
        <w:jc w:val="both"/>
        <w:divId w:val="1852525654"/>
        <w:rPr>
          <w:rFonts w:eastAsia="Times New Roman"/>
        </w:rPr>
      </w:pPr>
      <w:r>
        <w:rPr>
          <w:rFonts w:eastAsia="Times New Roman"/>
          <w:color w:val="000000"/>
          <w:sz w:val="20"/>
          <w:szCs w:val="20"/>
        </w:rPr>
        <w:t>The Company applies the provisions of Accounting Standards Codification ("ASC") 360,</w:t>
      </w:r>
      <w:r>
        <w:rPr>
          <w:rFonts w:eastAsia="Times New Roman"/>
          <w:color w:val="000000"/>
          <w:sz w:val="20"/>
          <w:szCs w:val="20"/>
        </w:rPr>
        <w:t> </w:t>
      </w:r>
      <w:r>
        <w:rPr>
          <w:rFonts w:eastAsia="Times New Roman"/>
          <w:i/>
          <w:iCs/>
          <w:color w:val="000000"/>
          <w:sz w:val="20"/>
          <w:szCs w:val="20"/>
        </w:rPr>
        <w:t>Property, Plant and Equipmen</w:t>
      </w:r>
      <w:r>
        <w:rPr>
          <w:rFonts w:eastAsia="Times New Roman"/>
          <w:i/>
          <w:iCs/>
          <w:color w:val="000000"/>
          <w:sz w:val="20"/>
          <w:szCs w:val="20"/>
        </w:rPr>
        <w:t>t</w:t>
      </w:r>
      <w:r>
        <w:rPr>
          <w:rFonts w:eastAsia="Times New Roman"/>
          <w:color w:val="000000"/>
          <w:sz w:val="20"/>
          <w:szCs w:val="20"/>
        </w:rPr>
        <w:t>, to</w:t>
      </w:r>
      <w:r>
        <w:rPr>
          <w:rFonts w:eastAsia="Times New Roman"/>
          <w:color w:val="000000"/>
          <w:sz w:val="20"/>
          <w:szCs w:val="20"/>
        </w:rPr>
        <w:t xml:space="preserve"> determine whether ROU and related long-lived assets may be impaired. The Company evaluates its ROU and long-lived assets for impairment whenever events or changes in circumstances indicate the carrying value of such assets may not be recoverable. For faci</w:t>
      </w:r>
      <w:r>
        <w:rPr>
          <w:rFonts w:eastAsia="Times New Roman"/>
          <w:color w:val="000000"/>
          <w:sz w:val="20"/>
          <w:szCs w:val="20"/>
        </w:rPr>
        <w:t>lity lease ROU and related long-lived assets, the Company compares the estimated undiscounted cash flows generated by a sublease to the current carrying value of the ROU and related long-lived assets. If the undiscounted cash flows are less than the carryi</w:t>
      </w:r>
      <w:r>
        <w:rPr>
          <w:rFonts w:eastAsia="Times New Roman"/>
          <w:color w:val="000000"/>
          <w:sz w:val="20"/>
          <w:szCs w:val="20"/>
        </w:rPr>
        <w:t>ng value of the ROU and related long-lived assets, the Company records an impairment loss equal to the excess of the ROU and long-lived assets' carrying value over their fair value consistent with other long-lived assets</w:t>
      </w:r>
      <w:r>
        <w:rPr>
          <w:rFonts w:eastAsia="Times New Roman"/>
          <w:color w:val="000000"/>
          <w:sz w:val="20"/>
          <w:szCs w:val="20"/>
        </w:rPr>
        <w:t>.</w:t>
      </w:r>
    </w:p>
    <w:p w:rsidR="00000000" w:rsidRDefault="007258AD">
      <w:pPr>
        <w:jc w:val="both"/>
        <w:divId w:val="414984715"/>
        <w:rPr>
          <w:rFonts w:eastAsia="Times New Roman"/>
        </w:rPr>
      </w:pPr>
      <w:r>
        <w:rPr>
          <w:rFonts w:eastAsia="Times New Roman"/>
          <w:color w:val="000000"/>
          <w:sz w:val="20"/>
          <w:szCs w:val="20"/>
        </w:rPr>
        <w:t>The Company performed an interim a</w:t>
      </w:r>
      <w:r>
        <w:rPr>
          <w:rFonts w:eastAsia="Times New Roman"/>
          <w:color w:val="000000"/>
          <w:sz w:val="20"/>
          <w:szCs w:val="20"/>
        </w:rPr>
        <w:t>nalysis as of March 31, 2020, as changes in market conditions indicated the carrying value of certain facility lease ROU and other long-lived assets may not be recoverable, and determined that certain ROU assets, and related leasehold improvements, were im</w:t>
      </w:r>
      <w:r>
        <w:rPr>
          <w:rFonts w:eastAsia="Times New Roman"/>
          <w:color w:val="000000"/>
          <w:sz w:val="20"/>
          <w:szCs w:val="20"/>
        </w:rPr>
        <w:t>paired</w:t>
      </w:r>
      <w:r>
        <w:rPr>
          <w:rFonts w:eastAsia="Times New Roman"/>
          <w:color w:val="000000"/>
          <w:sz w:val="20"/>
          <w:szCs w:val="20"/>
        </w:rPr>
        <w:t>.</w:t>
      </w:r>
    </w:p>
    <w:p w:rsidR="00000000" w:rsidRDefault="007258AD">
      <w:pPr>
        <w:jc w:val="both"/>
        <w:divId w:val="1789350400"/>
        <w:rPr>
          <w:rFonts w:eastAsia="Times New Roman"/>
        </w:rPr>
      </w:pPr>
      <w:r>
        <w:rPr>
          <w:rFonts w:eastAsia="Times New Roman"/>
          <w:color w:val="000000"/>
          <w:sz w:val="20"/>
          <w:szCs w:val="20"/>
        </w:rPr>
        <w:t>The Company recorded a $4.7 million non-cash impairment charge related to its ROU assets, and related leasehold improvements, for the three months ended March 31, 2020, with corresponding reductions of $2.8 million and $1.9 million to the operating</w:t>
      </w:r>
      <w:r>
        <w:rPr>
          <w:rFonts w:eastAsia="Times New Roman"/>
          <w:color w:val="000000"/>
          <w:sz w:val="20"/>
          <w:szCs w:val="20"/>
        </w:rPr>
        <w:t xml:space="preserve"> lease ROU asset and property and equipment, net line items, respectively, in the Condensed Consolidated Balance Sheet as of March 31, 2020. The impairment charge was driven by changes in the Company's projected undiscounted cash flows for certain properti</w:t>
      </w:r>
      <w:r>
        <w:rPr>
          <w:rFonts w:eastAsia="Times New Roman"/>
          <w:color w:val="000000"/>
          <w:sz w:val="20"/>
          <w:szCs w:val="20"/>
        </w:rPr>
        <w:t>es, primarily as a result of changes in the real estate market related to the COVID-19 pandemic, that led to an increase in the estimated marketing time, and a reduction of expected receipts, for properties currently on the market for sublease. The fair va</w:t>
      </w:r>
      <w:r>
        <w:rPr>
          <w:rFonts w:eastAsia="Times New Roman"/>
          <w:color w:val="000000"/>
          <w:sz w:val="20"/>
          <w:szCs w:val="20"/>
        </w:rPr>
        <w:t>lue of these ROU assets, and related leasehold improvements, was estimated using an income approach and a discount rate of 12.0%</w:t>
      </w:r>
      <w:r>
        <w:rPr>
          <w:rFonts w:eastAsia="Times New Roman"/>
          <w:color w:val="000000"/>
          <w:sz w:val="20"/>
          <w:szCs w:val="20"/>
        </w:rPr>
        <w:t>.</w:t>
      </w:r>
    </w:p>
    <w:p w:rsidR="00000000" w:rsidRDefault="007258AD">
      <w:pPr>
        <w:jc w:val="both"/>
        <w:divId w:val="1773430511"/>
        <w:rPr>
          <w:rFonts w:eastAsia="Times New Roman"/>
        </w:rPr>
      </w:pPr>
      <w:r>
        <w:rPr>
          <w:rFonts w:eastAsia="Times New Roman"/>
          <w:color w:val="000000"/>
          <w:sz w:val="20"/>
          <w:szCs w:val="20"/>
        </w:rPr>
        <w:t xml:space="preserve">Although the Company believes that the carrying values of its long-lived assets are appropriately stated as of June 30, 2020, </w:t>
      </w:r>
      <w:r>
        <w:rPr>
          <w:rFonts w:eastAsia="Times New Roman"/>
          <w:color w:val="000000"/>
          <w:sz w:val="20"/>
          <w:szCs w:val="20"/>
        </w:rPr>
        <w:t>future changes in strategy or market conditions, significant technological developments or significant changes in legal or regulatory factors could significantly impact these judgments and require adjustments to recorded asset balances</w:t>
      </w:r>
      <w:r>
        <w:rPr>
          <w:rFonts w:eastAsia="Times New Roman"/>
          <w:color w:val="000000"/>
          <w:sz w:val="20"/>
          <w:szCs w:val="20"/>
        </w:rPr>
        <w:t>.</w:t>
      </w:r>
    </w:p>
    <w:p w:rsidR="00000000" w:rsidRDefault="007258AD">
      <w:pPr>
        <w:jc w:val="center"/>
        <w:divId w:val="158346350"/>
        <w:rPr>
          <w:rFonts w:eastAsia="Times New Roman"/>
        </w:rPr>
      </w:pPr>
      <w:r>
        <w:rPr>
          <w:rFonts w:eastAsia="Times New Roman"/>
          <w:color w:val="000000"/>
          <w:sz w:val="20"/>
          <w:szCs w:val="20"/>
        </w:rPr>
        <w:t>1</w:t>
      </w:r>
      <w:r>
        <w:rPr>
          <w:rFonts w:eastAsia="Times New Roman"/>
          <w:color w:val="000000"/>
          <w:sz w:val="20"/>
          <w:szCs w:val="20"/>
        </w:rPr>
        <w:t>0</w:t>
      </w:r>
    </w:p>
    <w:p w:rsidR="00000000" w:rsidRDefault="007258AD">
      <w:pPr>
        <w:rPr>
          <w:rFonts w:eastAsia="Times New Roman"/>
        </w:rPr>
      </w:pPr>
      <w:r>
        <w:rPr>
          <w:rFonts w:eastAsia="Times New Roman"/>
        </w:rPr>
        <w:pict>
          <v:rect id="_x0000_i1037" style="width:0;height:1.5pt" o:hralign="center" o:hrstd="t" o:hr="t" fillcolor="#a0a0a0" stroked="f"/>
        </w:pict>
      </w:r>
    </w:p>
    <w:p w:rsidR="00000000" w:rsidRDefault="007258AD">
      <w:pPr>
        <w:jc w:val="both"/>
        <w:divId w:val="1148323300"/>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148323300"/>
        <w:rPr>
          <w:rFonts w:eastAsia="Times New Roman"/>
        </w:rPr>
      </w:pPr>
    </w:p>
    <w:p w:rsidR="00000000" w:rsidRDefault="007258AD">
      <w:pPr>
        <w:jc w:val="both"/>
        <w:divId w:val="23333858"/>
        <w:rPr>
          <w:rFonts w:eastAsia="Times New Roman"/>
        </w:rPr>
      </w:pPr>
      <w:r>
        <w:rPr>
          <w:rFonts w:eastAsia="Times New Roman"/>
          <w:b/>
          <w:bCs/>
          <w:i/>
          <w:iCs/>
          <w:color w:val="000000"/>
          <w:sz w:val="20"/>
          <w:szCs w:val="20"/>
        </w:rPr>
        <w:t>Allowance for Doubtful Account</w:t>
      </w:r>
      <w:r>
        <w:rPr>
          <w:rFonts w:eastAsia="Times New Roman"/>
          <w:b/>
          <w:bCs/>
          <w:i/>
          <w:iCs/>
          <w:color w:val="000000"/>
          <w:sz w:val="20"/>
          <w:szCs w:val="20"/>
        </w:rPr>
        <w:t>s</w:t>
      </w:r>
    </w:p>
    <w:p w:rsidR="00000000" w:rsidRDefault="007258AD">
      <w:pPr>
        <w:jc w:val="both"/>
        <w:divId w:val="1858470858"/>
        <w:rPr>
          <w:rFonts w:eastAsia="Times New Roman"/>
        </w:rPr>
      </w:pPr>
      <w:r>
        <w:rPr>
          <w:rFonts w:eastAsia="Times New Roman"/>
          <w:color w:val="000000"/>
          <w:sz w:val="20"/>
          <w:szCs w:val="20"/>
        </w:rPr>
        <w:t>The Company generally grants uncollateralized credit terms to its customers and maintains an allowance for dou</w:t>
      </w:r>
      <w:r>
        <w:rPr>
          <w:rFonts w:eastAsia="Times New Roman"/>
          <w:color w:val="000000"/>
          <w:sz w:val="20"/>
          <w:szCs w:val="20"/>
        </w:rPr>
        <w:t>btful accounts to reserve for uncollectible receivables. Allowances are based on management's judgment, which considers historical collection experience adjusted for current conditions or expected future conditions based on reasonable and supportable forec</w:t>
      </w:r>
      <w:r>
        <w:rPr>
          <w:rFonts w:eastAsia="Times New Roman"/>
          <w:color w:val="000000"/>
          <w:sz w:val="20"/>
          <w:szCs w:val="20"/>
        </w:rPr>
        <w:t>asts, a specific review of all significant outstanding receivables, an assessment of company-specific credit conditions and general economic conditions. For the six months ended June 30, 2020, management considered the impact of the COVID-19 pandemic, incl</w:t>
      </w:r>
      <w:r>
        <w:rPr>
          <w:rFonts w:eastAsia="Times New Roman"/>
          <w:color w:val="000000"/>
          <w:sz w:val="20"/>
          <w:szCs w:val="20"/>
        </w:rPr>
        <w:t>uding customer payment delays and requests from customers to revise contractual payment terms, in determining the Company's allowance for doubtful accounts</w:t>
      </w:r>
      <w:r>
        <w:rPr>
          <w:rFonts w:eastAsia="Times New Roman"/>
          <w:color w:val="000000"/>
          <w:sz w:val="20"/>
          <w:szCs w:val="20"/>
        </w:rPr>
        <w:t>.</w:t>
      </w:r>
    </w:p>
    <w:p w:rsidR="00000000" w:rsidRDefault="007258AD">
      <w:pPr>
        <w:jc w:val="both"/>
        <w:divId w:val="1898734862"/>
        <w:rPr>
          <w:rFonts w:eastAsia="Times New Roman"/>
        </w:rPr>
      </w:pPr>
      <w:r>
        <w:rPr>
          <w:rFonts w:eastAsia="Times New Roman"/>
          <w:color w:val="000000"/>
          <w:sz w:val="20"/>
          <w:szCs w:val="20"/>
        </w:rPr>
        <w:t>The table below summarizes the change in balance of the allowance for doubtful accounts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669"/>
        <w:gridCol w:w="44"/>
        <w:gridCol w:w="36"/>
        <w:gridCol w:w="36"/>
        <w:gridCol w:w="36"/>
        <w:gridCol w:w="125"/>
        <w:gridCol w:w="868"/>
        <w:gridCol w:w="80"/>
        <w:gridCol w:w="36"/>
        <w:gridCol w:w="36"/>
        <w:gridCol w:w="36"/>
        <w:gridCol w:w="125"/>
        <w:gridCol w:w="839"/>
        <w:gridCol w:w="80"/>
        <w:gridCol w:w="36"/>
        <w:gridCol w:w="36"/>
        <w:gridCol w:w="36"/>
        <w:gridCol w:w="36"/>
        <w:gridCol w:w="36"/>
        <w:gridCol w:w="36"/>
      </w:tblGrid>
      <w:tr w:rsidR="00000000">
        <w:trPr>
          <w:gridAfter w:val="6"/>
          <w:divId w:val="962537279"/>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962537279"/>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962537279"/>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6253727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Beginning Balanc</w:t>
            </w:r>
            <w:r>
              <w:rPr>
                <w:rFonts w:eastAsia="Times New Roman"/>
                <w:b/>
                <w:bCs/>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(1,919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62537279"/>
          <w:jc w:val="center"/>
        </w:trPr>
        <w:tc>
          <w:tcPr>
            <w:tcW w:w="0" w:type="auto"/>
            <w:gridSpan w:val="3"/>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Bad debt expens</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(1,590</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62537279"/>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Recoverie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62537279"/>
          <w:jc w:val="center"/>
        </w:trPr>
        <w:tc>
          <w:tcPr>
            <w:tcW w:w="0" w:type="auto"/>
            <w:gridSpan w:val="3"/>
            <w:tcMar>
              <w:top w:w="30" w:type="dxa"/>
              <w:left w:w="135" w:type="dxa"/>
              <w:bottom w:w="30" w:type="dxa"/>
              <w:right w:w="20" w:type="dxa"/>
            </w:tcMar>
            <w:vAlign w:val="bottom"/>
            <w:hideMark/>
          </w:tcPr>
          <w:p w:rsidR="00000000" w:rsidRDefault="007258AD">
            <w:pPr>
              <w:rPr>
                <w:rFonts w:eastAsia="Times New Roman"/>
              </w:rPr>
            </w:pPr>
            <w:r>
              <w:rPr>
                <w:rFonts w:eastAsia="Times New Roman"/>
                <w:color w:val="000000"/>
                <w:sz w:val="18"/>
                <w:szCs w:val="18"/>
              </w:rPr>
              <w:t>Write-off</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6253727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Ending Balanc</w:t>
            </w:r>
            <w:r>
              <w:rPr>
                <w:rFonts w:eastAsia="Times New Roman"/>
                <w:b/>
                <w:bCs/>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(2,772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(1,598</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610013787"/>
        <w:rPr>
          <w:rFonts w:eastAsia="Times New Roman"/>
        </w:rPr>
      </w:pPr>
      <w:r>
        <w:rPr>
          <w:rFonts w:eastAsia="Times New Roman"/>
          <w:b/>
          <w:bCs/>
          <w:i/>
          <w:iCs/>
          <w:color w:val="000000"/>
          <w:sz w:val="20"/>
          <w:szCs w:val="20"/>
        </w:rPr>
        <w:t>Accounting Standards Recently Adopte</w:t>
      </w:r>
      <w:r>
        <w:rPr>
          <w:rFonts w:eastAsia="Times New Roman"/>
          <w:b/>
          <w:bCs/>
          <w:i/>
          <w:iCs/>
          <w:color w:val="000000"/>
          <w:sz w:val="20"/>
          <w:szCs w:val="20"/>
        </w:rPr>
        <w:t>d</w:t>
      </w:r>
    </w:p>
    <w:p w:rsidR="00000000" w:rsidRDefault="007258AD">
      <w:pPr>
        <w:jc w:val="both"/>
        <w:divId w:val="828247839"/>
        <w:rPr>
          <w:rFonts w:eastAsia="Times New Roman"/>
        </w:rPr>
      </w:pPr>
      <w:r>
        <w:rPr>
          <w:rFonts w:eastAsia="Times New Roman"/>
          <w:color w:val="000000"/>
          <w:sz w:val="20"/>
          <w:szCs w:val="20"/>
        </w:rPr>
        <w:t>In June 2016, the Financial Accounting Standards Board ("FASB") issued ASU 2016-13,</w:t>
      </w:r>
      <w:r>
        <w:rPr>
          <w:rFonts w:eastAsia="Times New Roman"/>
          <w:color w:val="000000"/>
          <w:sz w:val="20"/>
          <w:szCs w:val="20"/>
        </w:rPr>
        <w:t xml:space="preserve"> </w:t>
      </w:r>
      <w:r>
        <w:rPr>
          <w:rFonts w:eastAsia="Times New Roman"/>
          <w:i/>
          <w:iCs/>
          <w:color w:val="000000"/>
          <w:sz w:val="20"/>
          <w:szCs w:val="20"/>
        </w:rPr>
        <w:t>Financial Instruments - Credit Losses</w:t>
      </w:r>
      <w:r>
        <w:rPr>
          <w:rFonts w:eastAsia="Times New Roman"/>
          <w:i/>
          <w:iCs/>
          <w:color w:val="000000"/>
          <w:sz w:val="20"/>
          <w:szCs w:val="20"/>
        </w:rPr>
        <w:t xml:space="preserve"> </w:t>
      </w:r>
      <w:r>
        <w:rPr>
          <w:rFonts w:eastAsia="Times New Roman"/>
          <w:color w:val="000000"/>
          <w:sz w:val="20"/>
          <w:szCs w:val="20"/>
        </w:rPr>
        <w:t xml:space="preserve">(Topic 326), which requires the measurement and recognition of expected credit losses for financial assets held at amortized cost. ASU 2016-13 replaces the existing incurred loss impairment model with an expected loss model which requires consideration of </w:t>
      </w:r>
      <w:r>
        <w:rPr>
          <w:rFonts w:eastAsia="Times New Roman"/>
          <w:color w:val="000000"/>
          <w:sz w:val="20"/>
          <w:szCs w:val="20"/>
        </w:rPr>
        <w:t>forward-looking information to calculate credit loss estimates. These changes will result in an earlier recognition of credit losses. The amendment is effective for fiscal years beginning after December 15, 2019, including interim periods within those fisc</w:t>
      </w:r>
      <w:r>
        <w:rPr>
          <w:rFonts w:eastAsia="Times New Roman"/>
          <w:color w:val="000000"/>
          <w:sz w:val="20"/>
          <w:szCs w:val="20"/>
        </w:rPr>
        <w:t>al years. The Company adopted the new standard effective January 1, 2020, and the standard did not have a material impact on the Condensed Consolidated Financial Statements or related disclosures based on historical collection trends, the financial conditi</w:t>
      </w:r>
      <w:r>
        <w:rPr>
          <w:rFonts w:eastAsia="Times New Roman"/>
          <w:color w:val="000000"/>
          <w:sz w:val="20"/>
          <w:szCs w:val="20"/>
        </w:rPr>
        <w:t>on of payment partners, and external market factors.</w:t>
      </w:r>
      <w:r>
        <w:rPr>
          <w:rFonts w:eastAsia="Times New Roman"/>
          <w:color w:val="000000"/>
          <w:sz w:val="20"/>
          <w:szCs w:val="20"/>
        </w:rPr>
        <w:t xml:space="preserve"> </w:t>
      </w:r>
    </w:p>
    <w:p w:rsidR="00000000" w:rsidRDefault="007258AD">
      <w:pPr>
        <w:jc w:val="both"/>
        <w:divId w:val="520627369"/>
        <w:rPr>
          <w:rFonts w:eastAsia="Times New Roman"/>
        </w:rPr>
      </w:pPr>
      <w:r>
        <w:rPr>
          <w:rFonts w:eastAsia="Times New Roman"/>
          <w:color w:val="000000"/>
          <w:sz w:val="20"/>
          <w:szCs w:val="20"/>
        </w:rPr>
        <w:t>In August 2018, the FASB issued ASU 2018-13,</w:t>
      </w:r>
      <w:r>
        <w:rPr>
          <w:rFonts w:eastAsia="Times New Roman"/>
          <w:color w:val="000000"/>
          <w:sz w:val="20"/>
          <w:szCs w:val="20"/>
        </w:rPr>
        <w:t> </w:t>
      </w:r>
      <w:r>
        <w:rPr>
          <w:rFonts w:eastAsia="Times New Roman"/>
          <w:i/>
          <w:iCs/>
          <w:color w:val="000000"/>
          <w:sz w:val="20"/>
          <w:szCs w:val="20"/>
        </w:rPr>
        <w:t>Fair Value Measuremen</w:t>
      </w:r>
      <w:r>
        <w:rPr>
          <w:rFonts w:eastAsia="Times New Roman"/>
          <w:i/>
          <w:iCs/>
          <w:color w:val="000000"/>
          <w:sz w:val="20"/>
          <w:szCs w:val="20"/>
        </w:rPr>
        <w:t>t</w:t>
      </w:r>
      <w:r>
        <w:rPr>
          <w:rFonts w:eastAsia="Times New Roman"/>
          <w:color w:val="000000"/>
          <w:sz w:val="20"/>
          <w:szCs w:val="20"/>
        </w:rPr>
        <w:t xml:space="preserve"> (Topic 820), which removes and modifies certain disclosure requirements under Topic 820. The amendments are effective for fiscal years</w:t>
      </w:r>
      <w:r>
        <w:rPr>
          <w:rFonts w:eastAsia="Times New Roman"/>
          <w:color w:val="000000"/>
          <w:sz w:val="20"/>
          <w:szCs w:val="20"/>
        </w:rPr>
        <w:t xml:space="preserve"> beginning after December 15, 2019, including interim periods within those fiscal years. An entity is permitted to early adopt any removed or modified disclosures upon issuance of the update and to delay adoption of the additional disclosures until their e</w:t>
      </w:r>
      <w:r>
        <w:rPr>
          <w:rFonts w:eastAsia="Times New Roman"/>
          <w:color w:val="000000"/>
          <w:sz w:val="20"/>
          <w:szCs w:val="20"/>
        </w:rPr>
        <w:t>ffective date. The Company adopted the new standard effective January 1, 2020, and the standard did not have a material impact on the Condensed Consolidated Financial Statements or related disclosures</w:t>
      </w:r>
      <w:r>
        <w:rPr>
          <w:rFonts w:eastAsia="Times New Roman"/>
          <w:color w:val="000000"/>
          <w:sz w:val="20"/>
          <w:szCs w:val="20"/>
        </w:rPr>
        <w:t>.</w:t>
      </w:r>
    </w:p>
    <w:p w:rsidR="00000000" w:rsidRDefault="007258AD">
      <w:pPr>
        <w:jc w:val="both"/>
        <w:divId w:val="2007636415"/>
        <w:rPr>
          <w:rFonts w:eastAsia="Times New Roman"/>
        </w:rPr>
      </w:pPr>
      <w:r>
        <w:rPr>
          <w:rFonts w:eastAsia="Times New Roman"/>
          <w:b/>
          <w:bCs/>
          <w:i/>
          <w:iCs/>
          <w:color w:val="000000"/>
          <w:sz w:val="20"/>
          <w:szCs w:val="20"/>
        </w:rPr>
        <w:t>Recently Issued Accounting Pronouncement</w:t>
      </w:r>
      <w:r>
        <w:rPr>
          <w:rFonts w:eastAsia="Times New Roman"/>
          <w:b/>
          <w:bCs/>
          <w:i/>
          <w:iCs/>
          <w:color w:val="000000"/>
          <w:sz w:val="20"/>
          <w:szCs w:val="20"/>
        </w:rPr>
        <w:t>s</w:t>
      </w:r>
    </w:p>
    <w:p w:rsidR="00000000" w:rsidRDefault="007258AD">
      <w:pPr>
        <w:jc w:val="both"/>
        <w:divId w:val="952051050"/>
        <w:rPr>
          <w:rFonts w:eastAsia="Times New Roman"/>
        </w:rPr>
      </w:pPr>
      <w:r>
        <w:rPr>
          <w:rFonts w:eastAsia="Times New Roman"/>
          <w:color w:val="000000"/>
          <w:sz w:val="20"/>
          <w:szCs w:val="20"/>
        </w:rPr>
        <w:t xml:space="preserve">In December </w:t>
      </w:r>
      <w:r>
        <w:rPr>
          <w:rFonts w:eastAsia="Times New Roman"/>
          <w:color w:val="000000"/>
          <w:sz w:val="20"/>
          <w:szCs w:val="20"/>
        </w:rPr>
        <w:t>2019, the FASB issued ASU 2019-12,</w:t>
      </w:r>
      <w:r>
        <w:rPr>
          <w:rFonts w:eastAsia="Times New Roman"/>
          <w:color w:val="000000"/>
          <w:sz w:val="20"/>
          <w:szCs w:val="20"/>
        </w:rPr>
        <w:t> </w:t>
      </w:r>
      <w:r>
        <w:rPr>
          <w:rFonts w:eastAsia="Times New Roman"/>
          <w:i/>
          <w:iCs/>
          <w:color w:val="000000"/>
          <w:sz w:val="20"/>
          <w:szCs w:val="20"/>
        </w:rPr>
        <w:t>Income Taxe</w:t>
      </w:r>
      <w:r>
        <w:rPr>
          <w:rFonts w:eastAsia="Times New Roman"/>
          <w:i/>
          <w:iCs/>
          <w:color w:val="000000"/>
          <w:sz w:val="20"/>
          <w:szCs w:val="20"/>
        </w:rPr>
        <w:t>s</w:t>
      </w:r>
      <w:r>
        <w:rPr>
          <w:rFonts w:eastAsia="Times New Roman"/>
          <w:color w:val="000000"/>
          <w:sz w:val="20"/>
          <w:szCs w:val="20"/>
        </w:rPr>
        <w:t xml:space="preserve"> (Topic 740), which simplifies the accounting for income taxes primarily by eliminating certain exemptions. The amendments are effective for fiscal years beginning after December 15, 2020, including interim pe</w:t>
      </w:r>
      <w:r>
        <w:rPr>
          <w:rFonts w:eastAsia="Times New Roman"/>
          <w:color w:val="000000"/>
          <w:sz w:val="20"/>
          <w:szCs w:val="20"/>
        </w:rPr>
        <w:t>riods within those fiscal years. An entity is permitted to early adopt any removed or modified disclosures upon issuance of the update and to delay adoption of the additional disclosures until their effective date. The Company is in the process of evaluati</w:t>
      </w:r>
      <w:r>
        <w:rPr>
          <w:rFonts w:eastAsia="Times New Roman"/>
          <w:color w:val="000000"/>
          <w:sz w:val="20"/>
          <w:szCs w:val="20"/>
        </w:rPr>
        <w:t>ng the guidance but does not believe that the adoption of this standard will have a material impact on the Condensed Consolidated Financial Statements or related disclosures</w:t>
      </w:r>
      <w:r>
        <w:rPr>
          <w:rFonts w:eastAsia="Times New Roman"/>
          <w:color w:val="000000"/>
          <w:sz w:val="20"/>
          <w:szCs w:val="20"/>
        </w:rPr>
        <w:t>.</w:t>
      </w:r>
    </w:p>
    <w:p w:rsidR="00000000" w:rsidRDefault="007258AD">
      <w:pPr>
        <w:jc w:val="center"/>
        <w:divId w:val="1897233717"/>
        <w:rPr>
          <w:rFonts w:eastAsia="Times New Roman"/>
        </w:rPr>
      </w:pPr>
      <w:r>
        <w:rPr>
          <w:rFonts w:eastAsia="Times New Roman"/>
          <w:color w:val="000000"/>
          <w:sz w:val="20"/>
          <w:szCs w:val="20"/>
        </w:rPr>
        <w:t>1</w:t>
      </w:r>
      <w:r>
        <w:rPr>
          <w:rFonts w:eastAsia="Times New Roman"/>
          <w:color w:val="000000"/>
          <w:sz w:val="20"/>
          <w:szCs w:val="20"/>
        </w:rPr>
        <w:t>1</w:t>
      </w:r>
    </w:p>
    <w:p w:rsidR="00000000" w:rsidRDefault="007258AD">
      <w:pPr>
        <w:rPr>
          <w:rFonts w:eastAsia="Times New Roman"/>
        </w:rPr>
      </w:pPr>
      <w:r>
        <w:rPr>
          <w:rFonts w:eastAsia="Times New Roman"/>
        </w:rPr>
        <w:pict>
          <v:rect id="_x0000_i1038" style="width:0;height:1.5pt" o:hralign="center" o:hrstd="t" o:hr="t" fillcolor="#a0a0a0" stroked="f"/>
        </w:pict>
      </w:r>
    </w:p>
    <w:p w:rsidR="00000000" w:rsidRDefault="007258AD">
      <w:pPr>
        <w:jc w:val="both"/>
        <w:divId w:val="100705113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007051131"/>
        <w:rPr>
          <w:rFonts w:eastAsia="Times New Roman"/>
        </w:rPr>
      </w:pPr>
    </w:p>
    <w:p w:rsidR="00000000" w:rsidRDefault="007258AD">
      <w:pPr>
        <w:ind w:hanging="360"/>
        <w:jc w:val="both"/>
        <w:divId w:val="1348210958"/>
        <w:rPr>
          <w:rFonts w:eastAsia="Times New Roman"/>
        </w:rPr>
      </w:pPr>
      <w:r>
        <w:rPr>
          <w:rFonts w:eastAsia="Times New Roman"/>
          <w:b/>
          <w:bCs/>
          <w:color w:val="000000"/>
          <w:sz w:val="20"/>
          <w:szCs w:val="20"/>
        </w:rPr>
        <w:t>3</w:t>
      </w:r>
      <w:r>
        <w:rPr>
          <w:rFonts w:eastAsia="Times New Roman"/>
          <w:b/>
          <w:bCs/>
          <w:color w:val="000000"/>
          <w:sz w:val="20"/>
          <w:szCs w:val="20"/>
        </w:rPr>
        <w:t>.</w:t>
      </w:r>
      <w:r>
        <w:rPr>
          <w:rFonts w:eastAsia="Times New Roman"/>
          <w:b/>
          <w:bCs/>
          <w:color w:val="000000"/>
          <w:sz w:val="20"/>
          <w:szCs w:val="20"/>
        </w:rPr>
        <w:t>Revenue Recognitio</w:t>
      </w:r>
      <w:r>
        <w:rPr>
          <w:rFonts w:eastAsia="Times New Roman"/>
          <w:b/>
          <w:bCs/>
          <w:color w:val="000000"/>
          <w:sz w:val="20"/>
          <w:szCs w:val="20"/>
        </w:rPr>
        <w:t>n</w:t>
      </w:r>
    </w:p>
    <w:p w:rsidR="00000000" w:rsidRDefault="007258AD">
      <w:pPr>
        <w:jc w:val="both"/>
        <w:divId w:val="1452356749"/>
        <w:rPr>
          <w:rFonts w:eastAsia="Times New Roman"/>
        </w:rPr>
      </w:pPr>
      <w:r>
        <w:rPr>
          <w:rFonts w:eastAsia="Times New Roman"/>
          <w:color w:val="000000"/>
          <w:sz w:val="20"/>
          <w:szCs w:val="20"/>
        </w:rPr>
        <w:t>The following table presents the Company's revenue disaggregated by solution group, geographical market and timing of transfer of products and services. The Company has one reportable segment in accordance with ASC 280,</w:t>
      </w:r>
      <w:r>
        <w:rPr>
          <w:rFonts w:eastAsia="Times New Roman"/>
          <w:color w:val="000000"/>
          <w:sz w:val="20"/>
          <w:szCs w:val="20"/>
        </w:rPr>
        <w:t xml:space="preserve"> </w:t>
      </w:r>
      <w:r>
        <w:rPr>
          <w:rFonts w:eastAsia="Times New Roman"/>
          <w:i/>
          <w:iCs/>
          <w:color w:val="000000"/>
          <w:sz w:val="20"/>
          <w:szCs w:val="20"/>
        </w:rPr>
        <w:t>Segment Reportin</w:t>
      </w:r>
      <w:r>
        <w:rPr>
          <w:rFonts w:eastAsia="Times New Roman"/>
          <w:i/>
          <w:iCs/>
          <w:color w:val="000000"/>
          <w:sz w:val="20"/>
          <w:szCs w:val="20"/>
        </w:rPr>
        <w:t>g</w:t>
      </w:r>
      <w:r>
        <w:rPr>
          <w:rFonts w:eastAsia="Times New Roman"/>
          <w:color w:val="000000"/>
          <w:sz w:val="20"/>
          <w:szCs w:val="20"/>
        </w:rPr>
        <w:t>; as such, the disa</w:t>
      </w:r>
      <w:r>
        <w:rPr>
          <w:rFonts w:eastAsia="Times New Roman"/>
          <w:color w:val="000000"/>
          <w:sz w:val="20"/>
          <w:szCs w:val="20"/>
        </w:rPr>
        <w:t>ggregation of revenue below reconciles directly to its unique reportable segment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1"/>
        <w:gridCol w:w="37"/>
        <w:gridCol w:w="36"/>
        <w:gridCol w:w="36"/>
        <w:gridCol w:w="36"/>
        <w:gridCol w:w="125"/>
        <w:gridCol w:w="793"/>
        <w:gridCol w:w="80"/>
        <w:gridCol w:w="36"/>
        <w:gridCol w:w="36"/>
        <w:gridCol w:w="36"/>
        <w:gridCol w:w="125"/>
        <w:gridCol w:w="817"/>
        <w:gridCol w:w="80"/>
        <w:gridCol w:w="36"/>
        <w:gridCol w:w="36"/>
        <w:gridCol w:w="36"/>
        <w:gridCol w:w="125"/>
        <w:gridCol w:w="818"/>
        <w:gridCol w:w="80"/>
        <w:gridCol w:w="36"/>
        <w:gridCol w:w="36"/>
        <w:gridCol w:w="36"/>
        <w:gridCol w:w="125"/>
        <w:gridCol w:w="818"/>
        <w:gridCol w:w="80"/>
        <w:gridCol w:w="36"/>
        <w:gridCol w:w="36"/>
        <w:gridCol w:w="36"/>
        <w:gridCol w:w="36"/>
        <w:gridCol w:w="36"/>
        <w:gridCol w:w="36"/>
        <w:gridCol w:w="36"/>
        <w:gridCol w:w="36"/>
        <w:gridCol w:w="36"/>
        <w:gridCol w:w="36"/>
        <w:gridCol w:w="36"/>
        <w:gridCol w:w="36"/>
      </w:tblGrid>
      <w:tr w:rsidR="00000000">
        <w:trPr>
          <w:gridAfter w:val="12"/>
          <w:divId w:val="1550679360"/>
          <w:jc w:val="center"/>
        </w:trPr>
        <w:tc>
          <w:tcPr>
            <w:tcW w:w="50" w:type="pct"/>
            <w:vAlign w:val="center"/>
            <w:hideMark/>
          </w:tcPr>
          <w:p w:rsidR="00000000" w:rsidRDefault="007258AD">
            <w:pPr>
              <w:jc w:val="both"/>
              <w:rPr>
                <w:rFonts w:eastAsia="Times New Roman"/>
              </w:rPr>
            </w:pPr>
          </w:p>
        </w:tc>
        <w:tc>
          <w:tcPr>
            <w:tcW w:w="21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55067936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550679360"/>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By solution group</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335151759"/>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63,779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68,922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127,300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139,499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712385494"/>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17,293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32,395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38,751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Movies Reporting and Analytic</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10,673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18,399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20,932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135"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w:t>
            </w:r>
            <w:r>
              <w:rPr>
                <w:rFonts w:eastAsia="Times New Roman"/>
                <w:b/>
                <w:bCs/>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199,182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By geographical market</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United State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77,527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83,971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154,673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171,947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Europ</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6,417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Canad</w:t>
            </w:r>
            <w:r>
              <w:rPr>
                <w:rFonts w:eastAsia="Times New Roman"/>
                <w:color w:val="000000"/>
                <w:sz w:val="18"/>
                <w:szCs w:val="18"/>
              </w:rPr>
              <w:t>a</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Latin Americ</w:t>
            </w:r>
            <w:r>
              <w:rPr>
                <w:rFonts w:eastAsia="Times New Roman"/>
                <w:color w:val="000000"/>
                <w:sz w:val="18"/>
                <w:szCs w:val="18"/>
              </w:rPr>
              <w:t>a</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3,497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w:t>
            </w:r>
            <w:r>
              <w:rPr>
                <w:rFonts w:eastAsia="Times New Roman"/>
                <w:b/>
                <w:bCs/>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199,182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By timing of revenue recognition</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Products and services transferred over tim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68,576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75,180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140,493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151,641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Products and services transferred at a point in tim</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21,708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37,601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47,541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50679360"/>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w:t>
            </w:r>
            <w:r>
              <w:rPr>
                <w:rFonts w:eastAsia="Times New Roman"/>
                <w:b/>
                <w:bCs/>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199,182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529418730"/>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In the second quarter of 2020, the Company began classifying revenue from certain new and extended custo</w:t>
      </w:r>
      <w:r>
        <w:rPr>
          <w:rFonts w:eastAsia="Times New Roman"/>
          <w:i/>
          <w:iCs/>
          <w:color w:val="000000"/>
          <w:sz w:val="16"/>
          <w:szCs w:val="16"/>
        </w:rPr>
        <w:t>m agreements for services that utilize its syndicated data set, previously classified under Analytics and Optimization, as Ratings and Planning. The impact was not material to either solution group</w:t>
      </w:r>
      <w:r>
        <w:rPr>
          <w:rFonts w:eastAsia="Times New Roman"/>
          <w:i/>
          <w:iCs/>
          <w:color w:val="000000"/>
          <w:sz w:val="16"/>
          <w:szCs w:val="16"/>
        </w:rPr>
        <w:t>.</w:t>
      </w:r>
    </w:p>
    <w:p w:rsidR="00000000" w:rsidRDefault="007258AD">
      <w:pPr>
        <w:jc w:val="both"/>
        <w:divId w:val="901603807"/>
        <w:rPr>
          <w:rFonts w:eastAsia="Times New Roman"/>
        </w:rPr>
      </w:pPr>
      <w:r>
        <w:rPr>
          <w:rFonts w:eastAsia="Times New Roman"/>
          <w:b/>
          <w:bCs/>
          <w:i/>
          <w:iCs/>
          <w:color w:val="000000"/>
          <w:sz w:val="20"/>
          <w:szCs w:val="20"/>
        </w:rPr>
        <w:t>Contract Balance</w:t>
      </w:r>
      <w:r>
        <w:rPr>
          <w:rFonts w:eastAsia="Times New Roman"/>
          <w:b/>
          <w:bCs/>
          <w:i/>
          <w:iCs/>
          <w:color w:val="000000"/>
          <w:sz w:val="20"/>
          <w:szCs w:val="20"/>
        </w:rPr>
        <w:t>s</w:t>
      </w:r>
    </w:p>
    <w:p w:rsidR="00000000" w:rsidRDefault="007258AD">
      <w:pPr>
        <w:jc w:val="both"/>
        <w:divId w:val="1410619223"/>
        <w:rPr>
          <w:rFonts w:eastAsia="Times New Roman"/>
        </w:rPr>
      </w:pPr>
      <w:r>
        <w:rPr>
          <w:rFonts w:eastAsia="Times New Roman"/>
          <w:color w:val="000000"/>
          <w:sz w:val="20"/>
          <w:szCs w:val="20"/>
        </w:rPr>
        <w:t>The following table provides information about receivables, contract assets, contract costs, contract liabilities and customer advances from contracts with customers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5824"/>
        <w:gridCol w:w="48"/>
        <w:gridCol w:w="36"/>
        <w:gridCol w:w="36"/>
        <w:gridCol w:w="36"/>
        <w:gridCol w:w="125"/>
        <w:gridCol w:w="894"/>
        <w:gridCol w:w="80"/>
        <w:gridCol w:w="36"/>
        <w:gridCol w:w="36"/>
        <w:gridCol w:w="36"/>
        <w:gridCol w:w="125"/>
        <w:gridCol w:w="867"/>
        <w:gridCol w:w="80"/>
      </w:tblGrid>
      <w:tr w:rsidR="00000000">
        <w:trPr>
          <w:divId w:val="1027412493"/>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02741249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r>
      <w:tr w:rsidR="00000000">
        <w:trPr>
          <w:divId w:val="1027412493"/>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102741249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64,026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71,853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02741249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and non-current contract asset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02741249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and non-current contract cost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02741249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contract liabilit</w:t>
            </w:r>
            <w:r>
              <w:rPr>
                <w:rFonts w:eastAsia="Times New Roman"/>
                <w:color w:val="000000"/>
                <w:sz w:val="18"/>
                <w:szCs w:val="18"/>
              </w:rPr>
              <w:t>y</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58,158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02741249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Current customer advance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9,886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02741249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Non-current contract liability</w:t>
            </w:r>
            <w:r>
              <w:rPr>
                <w:rFonts w:eastAsia="Times New Roman"/>
                <w:color w:val="000000"/>
                <w:sz w:val="18"/>
                <w:szCs w:val="18"/>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both"/>
        <w:divId w:val="2051226782"/>
        <w:rPr>
          <w:rFonts w:eastAsia="Times New Roman"/>
        </w:rPr>
      </w:pPr>
      <w:r>
        <w:rPr>
          <w:rFonts w:eastAsia="Times New Roman"/>
          <w:color w:val="000000"/>
          <w:sz w:val="20"/>
          <w:szCs w:val="20"/>
        </w:rPr>
        <w:t>Significant changes in the contract assets and the contract liabilities balances are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5725"/>
        <w:gridCol w:w="55"/>
        <w:gridCol w:w="125"/>
        <w:gridCol w:w="879"/>
        <w:gridCol w:w="80"/>
        <w:gridCol w:w="36"/>
        <w:gridCol w:w="36"/>
        <w:gridCol w:w="36"/>
        <w:gridCol w:w="125"/>
        <w:gridCol w:w="858"/>
        <w:gridCol w:w="80"/>
        <w:gridCol w:w="36"/>
        <w:gridCol w:w="36"/>
        <w:gridCol w:w="36"/>
        <w:gridCol w:w="36"/>
        <w:gridCol w:w="36"/>
        <w:gridCol w:w="36"/>
      </w:tblGrid>
      <w:tr w:rsidR="00000000">
        <w:trPr>
          <w:gridAfter w:val="6"/>
          <w:divId w:val="423645413"/>
          <w:jc w:val="center"/>
        </w:trPr>
        <w:tc>
          <w:tcPr>
            <w:tcW w:w="50" w:type="pct"/>
            <w:vAlign w:val="center"/>
            <w:hideMark/>
          </w:tcPr>
          <w:p w:rsidR="00000000" w:rsidRDefault="007258AD">
            <w:pPr>
              <w:jc w:val="both"/>
              <w:rPr>
                <w:rFonts w:eastAsia="Times New Roman"/>
              </w:rPr>
            </w:pPr>
          </w:p>
        </w:tc>
        <w:tc>
          <w:tcPr>
            <w:tcW w:w="3552"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42364541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Contract Liability (Current</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42364541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423645413"/>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2364541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Revenue recognized that was included in the opening contract liability balanc</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(39,497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(50,758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23645413"/>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Cash received or amounts billed in advance and not recognized as revenu</w:t>
            </w:r>
            <w:r>
              <w:rPr>
                <w:rFonts w:eastAsia="Times New Roman"/>
                <w:color w:val="000000"/>
                <w:sz w:val="18"/>
                <w:szCs w:val="18"/>
              </w:rPr>
              <w:t>e</w:t>
            </w: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47,596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44,780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906917447"/>
        <w:rPr>
          <w:rFonts w:eastAsia="Times New Roman"/>
        </w:rPr>
      </w:pPr>
      <w:r>
        <w:rPr>
          <w:rFonts w:eastAsia="Times New Roman"/>
          <w:color w:val="000000"/>
          <w:sz w:val="20"/>
          <w:szCs w:val="20"/>
        </w:rPr>
        <w:t xml:space="preserve">For the six months ended June 30, 2020, the Company recorded $5.9 </w:t>
      </w:r>
      <w:r>
        <w:rPr>
          <w:rFonts w:eastAsia="Times New Roman"/>
          <w:color w:val="000000"/>
          <w:sz w:val="20"/>
          <w:szCs w:val="20"/>
        </w:rPr>
        <w:t>million in amounts billed in advance, but not yet recognized as revenue, within non-current contract liabilities</w:t>
      </w:r>
      <w:r>
        <w:rPr>
          <w:rFonts w:eastAsia="Times New Roman"/>
          <w:color w:val="000000"/>
          <w:sz w:val="20"/>
          <w:szCs w:val="20"/>
        </w:rPr>
        <w:t>.</w:t>
      </w:r>
    </w:p>
    <w:p w:rsidR="00000000" w:rsidRDefault="007258AD">
      <w:pPr>
        <w:jc w:val="both"/>
        <w:divId w:val="1878615445"/>
        <w:rPr>
          <w:rFonts w:eastAsia="Times New Roman"/>
        </w:rPr>
      </w:pPr>
      <w:r>
        <w:rPr>
          <w:rFonts w:eastAsia="Times New Roman"/>
          <w:b/>
          <w:bCs/>
          <w:i/>
          <w:iCs/>
          <w:color w:val="000000"/>
          <w:sz w:val="20"/>
          <w:szCs w:val="20"/>
        </w:rPr>
        <w:t>Transaction Price Allocated to the Remaining Performance Obligations</w:t>
      </w:r>
      <w:r>
        <w:rPr>
          <w:rFonts w:eastAsia="Times New Roman"/>
          <w:b/>
          <w:bCs/>
          <w:i/>
          <w:iCs/>
          <w:color w:val="000000"/>
          <w:sz w:val="20"/>
          <w:szCs w:val="20"/>
        </w:rPr>
        <w:t xml:space="preserve"> </w:t>
      </w:r>
    </w:p>
    <w:p w:rsidR="00000000" w:rsidRDefault="007258AD">
      <w:pPr>
        <w:jc w:val="both"/>
        <w:divId w:val="1002585540"/>
        <w:rPr>
          <w:rFonts w:eastAsia="Times New Roman"/>
        </w:rPr>
      </w:pPr>
      <w:r>
        <w:rPr>
          <w:rFonts w:eastAsia="Times New Roman"/>
          <w:color w:val="000000"/>
          <w:sz w:val="20"/>
          <w:szCs w:val="20"/>
        </w:rPr>
        <w:t xml:space="preserve">As of June 30, 2020, approximately $240.0 </w:t>
      </w:r>
      <w:r>
        <w:rPr>
          <w:rFonts w:eastAsia="Times New Roman"/>
          <w:color w:val="000000"/>
          <w:sz w:val="20"/>
          <w:szCs w:val="20"/>
        </w:rPr>
        <w:t>million of revenue is expected to be recognized from remaining performance obligations that are unsatisfied (or partially unsatisfied) for non-cancelable contracts. The Company expects to recognize revenue on approximately 37% of these remaining performanc</w:t>
      </w:r>
      <w:r>
        <w:rPr>
          <w:rFonts w:eastAsia="Times New Roman"/>
          <w:color w:val="000000"/>
          <w:sz w:val="20"/>
          <w:szCs w:val="20"/>
        </w:rPr>
        <w:t>e obligations during the remainder of 2020, approximately 40% in 2021, and approximately 17% in 2022, with the remainder recognized thereafter</w:t>
      </w:r>
      <w:r>
        <w:rPr>
          <w:rFonts w:eastAsia="Times New Roman"/>
          <w:color w:val="000000"/>
          <w:sz w:val="20"/>
          <w:szCs w:val="20"/>
        </w:rPr>
        <w:t>.</w:t>
      </w:r>
    </w:p>
    <w:p w:rsidR="00000000" w:rsidRDefault="007258AD">
      <w:pPr>
        <w:jc w:val="center"/>
        <w:divId w:val="649677818"/>
        <w:rPr>
          <w:rFonts w:eastAsia="Times New Roman"/>
        </w:rPr>
      </w:pPr>
      <w:r>
        <w:rPr>
          <w:rFonts w:eastAsia="Times New Roman"/>
          <w:color w:val="000000"/>
          <w:sz w:val="20"/>
          <w:szCs w:val="20"/>
        </w:rPr>
        <w:t>1</w:t>
      </w:r>
      <w:r>
        <w:rPr>
          <w:rFonts w:eastAsia="Times New Roman"/>
          <w:color w:val="000000"/>
          <w:sz w:val="20"/>
          <w:szCs w:val="20"/>
        </w:rPr>
        <w:t>2</w:t>
      </w:r>
    </w:p>
    <w:p w:rsidR="00000000" w:rsidRDefault="007258AD">
      <w:pPr>
        <w:rPr>
          <w:rFonts w:eastAsia="Times New Roman"/>
        </w:rPr>
      </w:pPr>
      <w:r>
        <w:rPr>
          <w:rFonts w:eastAsia="Times New Roman"/>
        </w:rPr>
        <w:pict>
          <v:rect id="_x0000_i1039" style="width:0;height:1.5pt" o:hralign="center" o:hrstd="t" o:hr="t" fillcolor="#a0a0a0" stroked="f"/>
        </w:pict>
      </w:r>
    </w:p>
    <w:p w:rsidR="00000000" w:rsidRDefault="007258AD">
      <w:pPr>
        <w:jc w:val="both"/>
        <w:divId w:val="944188536"/>
        <w:rPr>
          <w:rFonts w:eastAsia="Times New Roman"/>
        </w:rPr>
      </w:pPr>
      <w:hyperlink w:anchor="if3309f2850e6489fbcf3fb9276fba379_7" w:history="1">
        <w:r>
          <w:rPr>
            <w:rStyle w:val="a3"/>
            <w:rFonts w:eastAsia="Times New Roman"/>
            <w:sz w:val="20"/>
            <w:szCs w:val="20"/>
          </w:rPr>
          <w:t>Table of Conte</w:t>
        </w:r>
        <w:r>
          <w:rPr>
            <w:rStyle w:val="a3"/>
            <w:rFonts w:eastAsia="Times New Roman"/>
            <w:sz w:val="20"/>
            <w:szCs w:val="20"/>
          </w:rPr>
          <w:t>nts</w:t>
        </w:r>
      </w:hyperlink>
    </w:p>
    <w:p w:rsidR="00000000" w:rsidRDefault="007258AD">
      <w:pPr>
        <w:jc w:val="both"/>
        <w:divId w:val="944188536"/>
        <w:rPr>
          <w:rFonts w:eastAsia="Times New Roman"/>
        </w:rPr>
      </w:pPr>
    </w:p>
    <w:p w:rsidR="00000000" w:rsidRDefault="007258AD">
      <w:pPr>
        <w:jc w:val="both"/>
        <w:divId w:val="429588485"/>
        <w:rPr>
          <w:rFonts w:eastAsia="Times New Roman"/>
        </w:rPr>
      </w:pPr>
      <w:r>
        <w:rPr>
          <w:rFonts w:eastAsia="Times New Roman"/>
          <w:b/>
          <w:bCs/>
          <w:i/>
          <w:iCs/>
          <w:color w:val="000000"/>
          <w:sz w:val="20"/>
          <w:szCs w:val="20"/>
        </w:rPr>
        <w:t>Costs to Obtain or Fulfill a Contrac</w:t>
      </w:r>
      <w:r>
        <w:rPr>
          <w:rFonts w:eastAsia="Times New Roman"/>
          <w:b/>
          <w:bCs/>
          <w:i/>
          <w:iCs/>
          <w:color w:val="000000"/>
          <w:sz w:val="20"/>
          <w:szCs w:val="20"/>
        </w:rPr>
        <w:t>t</w:t>
      </w:r>
    </w:p>
    <w:p w:rsidR="00000000" w:rsidRDefault="007258AD">
      <w:pPr>
        <w:jc w:val="both"/>
        <w:divId w:val="1147821032"/>
        <w:rPr>
          <w:rFonts w:eastAsia="Times New Roman"/>
        </w:rPr>
      </w:pPr>
      <w:r>
        <w:rPr>
          <w:rFonts w:eastAsia="Times New Roman"/>
          <w:color w:val="000000"/>
          <w:sz w:val="20"/>
          <w:szCs w:val="20"/>
        </w:rPr>
        <w:t>As of June 30, 2020 and December 31, 2019, the Company had $0.5 million and $0.8 million, respectively, in capitalized contract costs. For the three months ended June 30, 2020 and 2019, amortized and expensed con</w:t>
      </w:r>
      <w:r>
        <w:rPr>
          <w:rFonts w:eastAsia="Times New Roman"/>
          <w:color w:val="000000"/>
          <w:sz w:val="20"/>
          <w:szCs w:val="20"/>
        </w:rPr>
        <w:t>tract costs were $0.4 million and $0.8 million, respectively. For the six months ended June 30, 2020 and 2019, amortized and expensed contract costs were $0.7 million and $1.4 million, respectively.</w:t>
      </w:r>
      <w:r>
        <w:rPr>
          <w:rFonts w:eastAsia="Times New Roman"/>
          <w:color w:val="000000"/>
          <w:sz w:val="20"/>
          <w:szCs w:val="20"/>
        </w:rPr>
        <w:t xml:space="preserve"> </w:t>
      </w:r>
    </w:p>
    <w:p w:rsidR="00000000" w:rsidRDefault="007258AD">
      <w:pPr>
        <w:ind w:hanging="360"/>
        <w:jc w:val="both"/>
        <w:divId w:val="1837334129"/>
        <w:rPr>
          <w:rFonts w:eastAsia="Times New Roman"/>
        </w:rPr>
      </w:pPr>
      <w:r>
        <w:rPr>
          <w:rFonts w:eastAsia="Times New Roman"/>
          <w:b/>
          <w:bCs/>
          <w:color w:val="000000"/>
          <w:sz w:val="20"/>
          <w:szCs w:val="20"/>
        </w:rPr>
        <w:t>4</w:t>
      </w:r>
      <w:r>
        <w:rPr>
          <w:rFonts w:eastAsia="Times New Roman"/>
          <w:b/>
          <w:bCs/>
          <w:color w:val="000000"/>
          <w:sz w:val="20"/>
          <w:szCs w:val="20"/>
        </w:rPr>
        <w:t>.</w:t>
      </w:r>
      <w:r>
        <w:rPr>
          <w:rFonts w:eastAsia="Times New Roman"/>
          <w:b/>
          <w:bCs/>
          <w:color w:val="000000"/>
          <w:sz w:val="20"/>
          <w:szCs w:val="20"/>
        </w:rPr>
        <w:t>Long-term Deb</w:t>
      </w:r>
      <w:r>
        <w:rPr>
          <w:rFonts w:eastAsia="Times New Roman"/>
          <w:b/>
          <w:bCs/>
          <w:color w:val="000000"/>
          <w:sz w:val="20"/>
          <w:szCs w:val="20"/>
        </w:rPr>
        <w:t>t</w:t>
      </w:r>
    </w:p>
    <w:p w:rsidR="00000000" w:rsidRDefault="007258AD">
      <w:pPr>
        <w:jc w:val="both"/>
        <w:divId w:val="1415398541"/>
        <w:rPr>
          <w:rFonts w:eastAsia="Times New Roman"/>
        </w:rPr>
      </w:pPr>
      <w:r>
        <w:rPr>
          <w:rFonts w:eastAsia="Times New Roman"/>
          <w:b/>
          <w:bCs/>
          <w:i/>
          <w:iCs/>
          <w:color w:val="000000"/>
          <w:sz w:val="20"/>
          <w:szCs w:val="20"/>
        </w:rPr>
        <w:t>Issuance and Sale of Initial Note</w:t>
      </w:r>
      <w:r>
        <w:rPr>
          <w:rFonts w:eastAsia="Times New Roman"/>
          <w:b/>
          <w:bCs/>
          <w:i/>
          <w:iCs/>
          <w:color w:val="000000"/>
          <w:sz w:val="20"/>
          <w:szCs w:val="20"/>
        </w:rPr>
        <w:t>s</w:t>
      </w:r>
    </w:p>
    <w:p w:rsidR="00000000" w:rsidRDefault="007258AD">
      <w:pPr>
        <w:jc w:val="both"/>
        <w:divId w:val="1649089468"/>
        <w:rPr>
          <w:rFonts w:eastAsia="Times New Roman"/>
        </w:rPr>
      </w:pPr>
      <w:r>
        <w:rPr>
          <w:rFonts w:eastAsia="Times New Roman"/>
          <w:color w:val="000000"/>
          <w:sz w:val="20"/>
          <w:szCs w:val="20"/>
        </w:rPr>
        <w:t>On January 16, 2018, the Company entered into certain agreements with Starboard, pursuant to which, among other things, the Company issued and sold to Starboard $150.0 million of senior secured convertible notes (the "Ini</w:t>
      </w:r>
      <w:r>
        <w:rPr>
          <w:rFonts w:eastAsia="Times New Roman"/>
          <w:color w:val="000000"/>
          <w:sz w:val="20"/>
          <w:szCs w:val="20"/>
        </w:rPr>
        <w:t xml:space="preserve">tial Notes") in exchange for $85.0 million in cash and 2,600,000 shares of Common Stock valued at $65.0 million. Based upon the fair value of the Common Stock on the closing date of the Initial Notes issuance, January 16, 2018, which was $24.45 per share, </w:t>
      </w:r>
      <w:r>
        <w:rPr>
          <w:rFonts w:eastAsia="Times New Roman"/>
          <w:color w:val="000000"/>
          <w:sz w:val="20"/>
          <w:szCs w:val="20"/>
        </w:rPr>
        <w:t>the difference of $1.4 million was recorded as an issuance discount to the Initial Notes. The Company also granted to Starboard an option (the "Notes Option") to acquire up to an additional $50.0 million in senior secured convertible notes (the "Option Not</w:t>
      </w:r>
      <w:r>
        <w:rPr>
          <w:rFonts w:eastAsia="Times New Roman"/>
          <w:color w:val="000000"/>
          <w:sz w:val="20"/>
          <w:szCs w:val="20"/>
        </w:rPr>
        <w:t>es" and together with the Initial Notes, the "Notes") and agreed to grant Starboard warrants to purchase 250,000 shares of Common Stock at a price of $0.01 per share, as adjusted pursuant to the terms of the warrants. The warrants were issued on October 12</w:t>
      </w:r>
      <w:r>
        <w:rPr>
          <w:rFonts w:eastAsia="Times New Roman"/>
          <w:color w:val="000000"/>
          <w:sz w:val="20"/>
          <w:szCs w:val="20"/>
        </w:rPr>
        <w:t>, 2018 and were exercised in full by Starboard on April 3, 2019 for 323,448 shares of Common Stock.</w:t>
      </w:r>
      <w:r>
        <w:rPr>
          <w:rFonts w:eastAsia="Times New Roman"/>
          <w:color w:val="000000"/>
          <w:sz w:val="20"/>
          <w:szCs w:val="20"/>
        </w:rPr>
        <w:t xml:space="preserve"> </w:t>
      </w:r>
    </w:p>
    <w:p w:rsidR="00000000" w:rsidRDefault="007258AD">
      <w:pPr>
        <w:jc w:val="both"/>
        <w:divId w:val="188836604"/>
        <w:rPr>
          <w:rFonts w:eastAsia="Times New Roman"/>
        </w:rPr>
      </w:pPr>
      <w:r>
        <w:rPr>
          <w:rFonts w:eastAsia="Times New Roman"/>
          <w:color w:val="000000"/>
          <w:sz w:val="20"/>
          <w:szCs w:val="20"/>
        </w:rPr>
        <w:t>The conversion price for the Notes (the "Conversion Price") is equal to a 30.0% premium to the volume weighted average trading prices ("VWAP") of the Commo</w:t>
      </w:r>
      <w:r>
        <w:rPr>
          <w:rFonts w:eastAsia="Times New Roman"/>
          <w:color w:val="000000"/>
          <w:sz w:val="20"/>
          <w:szCs w:val="20"/>
        </w:rPr>
        <w:t>n Stock on each trading day during the 10 consecutive trading days commencing on January 16, 2018, subject to a Conversion Price floor of $28.00 per share. In accordance with the foregoing, the Conversion Price was set at $31.29.</w:t>
      </w:r>
      <w:r>
        <w:rPr>
          <w:rFonts w:eastAsia="Times New Roman"/>
          <w:color w:val="000000"/>
          <w:sz w:val="20"/>
          <w:szCs w:val="20"/>
        </w:rPr>
        <w:t xml:space="preserve"> </w:t>
      </w:r>
    </w:p>
    <w:p w:rsidR="00000000" w:rsidRDefault="007258AD">
      <w:pPr>
        <w:jc w:val="both"/>
        <w:divId w:val="1585381431"/>
        <w:rPr>
          <w:rFonts w:eastAsia="Times New Roman"/>
        </w:rPr>
      </w:pPr>
      <w:r>
        <w:rPr>
          <w:rFonts w:eastAsia="Times New Roman"/>
          <w:color w:val="000000"/>
          <w:sz w:val="20"/>
          <w:szCs w:val="20"/>
        </w:rPr>
        <w:t>The Notes mature on Janua</w:t>
      </w:r>
      <w:r>
        <w:rPr>
          <w:rFonts w:eastAsia="Times New Roman"/>
          <w:color w:val="000000"/>
          <w:sz w:val="20"/>
          <w:szCs w:val="20"/>
        </w:rPr>
        <w:t>ry 16, 2022. Based upon the determination of the Conversion Price, interest on the Notes accrued at 6.0% per year through January 30, 2019, when the interest rate reset to 12.0% per year through January 30, 2020. The interest rate reset on January 30, 2020</w:t>
      </w:r>
      <w:r>
        <w:rPr>
          <w:rFonts w:eastAsia="Times New Roman"/>
          <w:color w:val="000000"/>
          <w:sz w:val="20"/>
          <w:szCs w:val="20"/>
        </w:rPr>
        <w:t xml:space="preserve"> and will remain at 12.0% (subject to certain conditions) until February 1, 2021 (the "Interest Reset Date"). On the Interest Reset Date, the interest rate on the Notes will reset, and interest will thereafter accrue at a minimum of 4.0% per year and a max</w:t>
      </w:r>
      <w:r>
        <w:rPr>
          <w:rFonts w:eastAsia="Times New Roman"/>
          <w:color w:val="000000"/>
          <w:sz w:val="20"/>
          <w:szCs w:val="20"/>
        </w:rPr>
        <w:t>imum of 12.0% per year, based upon the then-applicable conversion premium in accordance with the terms of the Notes</w:t>
      </w:r>
      <w:r>
        <w:rPr>
          <w:rFonts w:eastAsia="Times New Roman"/>
          <w:color w:val="000000"/>
          <w:sz w:val="20"/>
          <w:szCs w:val="20"/>
        </w:rPr>
        <w:t>.</w:t>
      </w:r>
    </w:p>
    <w:p w:rsidR="00000000" w:rsidRDefault="007258AD">
      <w:pPr>
        <w:jc w:val="both"/>
        <w:divId w:val="1396003118"/>
        <w:rPr>
          <w:rFonts w:eastAsia="Times New Roman"/>
        </w:rPr>
      </w:pPr>
      <w:r>
        <w:rPr>
          <w:rFonts w:eastAsia="Times New Roman"/>
          <w:color w:val="000000"/>
          <w:sz w:val="20"/>
          <w:szCs w:val="20"/>
        </w:rPr>
        <w:t xml:space="preserve">Interest on the Notes is payable on a quarterly basis in arrears from April 1, 2018, at the option of the Company, in cash, or, subject to </w:t>
      </w:r>
      <w:r>
        <w:rPr>
          <w:rFonts w:eastAsia="Times New Roman"/>
          <w:color w:val="000000"/>
          <w:sz w:val="20"/>
          <w:szCs w:val="20"/>
        </w:rPr>
        <w:t xml:space="preserve">certain conditions, through the issuance by the Company of additional shares of Common Stock ("PIK Interest Shares"). Any PIK Interest Shares so issued will be valued at the arithmetic average of the VWAP of the Common Stock on each trading day during the </w:t>
      </w:r>
      <w:r>
        <w:rPr>
          <w:rFonts w:eastAsia="Times New Roman"/>
          <w:color w:val="000000"/>
          <w:sz w:val="20"/>
          <w:szCs w:val="20"/>
        </w:rPr>
        <w:t>10 consecutive trading days ending immediately preceding the applicable interest payment date. On each of January 2, 2020, April 1, 2020 and July 1, 2020, the Company paid quarterly accrued interest of $6.1 million in cash. The accrued interest liability o</w:t>
      </w:r>
      <w:r>
        <w:rPr>
          <w:rFonts w:eastAsia="Times New Roman"/>
          <w:color w:val="000000"/>
          <w:sz w:val="20"/>
          <w:szCs w:val="20"/>
        </w:rPr>
        <w:t>f $6.1 million as of June 30, 2020 was classified within accrued expenses in the Condensed Consolidated Financial Statements.</w:t>
      </w:r>
      <w:r>
        <w:rPr>
          <w:rFonts w:eastAsia="Times New Roman"/>
          <w:color w:val="000000"/>
          <w:sz w:val="20"/>
          <w:szCs w:val="20"/>
        </w:rPr>
        <w:t xml:space="preserve"> </w:t>
      </w:r>
    </w:p>
    <w:p w:rsidR="00000000" w:rsidRDefault="007258AD">
      <w:pPr>
        <w:jc w:val="both"/>
        <w:divId w:val="2051684754"/>
        <w:rPr>
          <w:rFonts w:eastAsia="Times New Roman"/>
        </w:rPr>
      </w:pPr>
      <w:r>
        <w:rPr>
          <w:rFonts w:eastAsia="Times New Roman"/>
          <w:color w:val="000000"/>
          <w:sz w:val="20"/>
          <w:szCs w:val="20"/>
        </w:rPr>
        <w:t>The Notes contain certain affirmative and restrictive covenants with which the Company must comply, including covenants with resp</w:t>
      </w:r>
      <w:r>
        <w:rPr>
          <w:rFonts w:eastAsia="Times New Roman"/>
          <w:color w:val="000000"/>
          <w:sz w:val="20"/>
          <w:szCs w:val="20"/>
        </w:rPr>
        <w:t>ect to (i) limitations on additional indebtedness, (ii) limitations on liens, (iii) limitations on certain payments, (iv) maintenance of certain minimum cash balances (currently $40.0 million), and (v) the timely filing of certain disclosures with the SEC.</w:t>
      </w:r>
      <w:r>
        <w:rPr>
          <w:rFonts w:eastAsia="Times New Roman"/>
          <w:color w:val="000000"/>
          <w:sz w:val="20"/>
          <w:szCs w:val="20"/>
        </w:rPr>
        <w:t xml:space="preserve"> The Company is in compliance with its Notes covenants as of the date of these financial statements, inclusive of the Company's restricted cash balances</w:t>
      </w:r>
      <w:r>
        <w:rPr>
          <w:rFonts w:eastAsia="Times New Roman"/>
          <w:color w:val="000000"/>
          <w:sz w:val="20"/>
          <w:szCs w:val="20"/>
        </w:rPr>
        <w:t>.</w:t>
      </w:r>
    </w:p>
    <w:p w:rsidR="00000000" w:rsidRDefault="007258AD">
      <w:pPr>
        <w:jc w:val="both"/>
        <w:divId w:val="471556813"/>
        <w:rPr>
          <w:rFonts w:eastAsia="Times New Roman"/>
        </w:rPr>
      </w:pPr>
      <w:r>
        <w:rPr>
          <w:rFonts w:eastAsia="Times New Roman"/>
          <w:b/>
          <w:bCs/>
          <w:i/>
          <w:iCs/>
          <w:color w:val="000000"/>
          <w:sz w:val="20"/>
          <w:szCs w:val="20"/>
        </w:rPr>
        <w:t>Issuance and Sale of Option Note</w:t>
      </w:r>
      <w:r>
        <w:rPr>
          <w:rFonts w:eastAsia="Times New Roman"/>
          <w:b/>
          <w:bCs/>
          <w:i/>
          <w:iCs/>
          <w:color w:val="000000"/>
          <w:sz w:val="20"/>
          <w:szCs w:val="20"/>
        </w:rPr>
        <w:t>s</w:t>
      </w:r>
    </w:p>
    <w:p w:rsidR="00000000" w:rsidRDefault="007258AD">
      <w:pPr>
        <w:jc w:val="both"/>
        <w:divId w:val="1800417942"/>
        <w:rPr>
          <w:rFonts w:eastAsia="Times New Roman"/>
        </w:rPr>
      </w:pPr>
      <w:r>
        <w:rPr>
          <w:rFonts w:eastAsia="Times New Roman"/>
          <w:color w:val="000000"/>
          <w:sz w:val="20"/>
          <w:szCs w:val="20"/>
        </w:rPr>
        <w:t>On May 17, 2018, the Notes Option was exercised by Starboard, pursua</w:t>
      </w:r>
      <w:r>
        <w:rPr>
          <w:rFonts w:eastAsia="Times New Roman"/>
          <w:color w:val="000000"/>
          <w:sz w:val="20"/>
          <w:szCs w:val="20"/>
        </w:rPr>
        <w:t xml:space="preserve">nt to which the Company issued and sold to Starboard $50.0 million of Option Notes in exchange for $15.0 million in cash and 1,400,000 shares of Common Stock valued at $35.0 million. Based upon the fair value of the Common Stock on the closing date of the </w:t>
      </w:r>
      <w:r>
        <w:rPr>
          <w:rFonts w:eastAsia="Times New Roman"/>
          <w:color w:val="000000"/>
          <w:sz w:val="20"/>
          <w:szCs w:val="20"/>
        </w:rPr>
        <w:t>Option Notes issuance, May 17, 2018, which was $21.75 per share, the difference of $4.6 million was recorded as an issuance discount to the Option Notes. The Option Notes have the same terms, including maturity, interest rate, convertibility, and security,</w:t>
      </w:r>
      <w:r>
        <w:rPr>
          <w:rFonts w:eastAsia="Times New Roman"/>
          <w:color w:val="000000"/>
          <w:sz w:val="20"/>
          <w:szCs w:val="20"/>
        </w:rPr>
        <w:t xml:space="preserve"> as the Initial Notes, except with regard to the date from which interest began to accrue, which was May 17, 2018</w:t>
      </w:r>
      <w:r>
        <w:rPr>
          <w:rFonts w:eastAsia="Times New Roman"/>
          <w:color w:val="000000"/>
          <w:sz w:val="20"/>
          <w:szCs w:val="20"/>
        </w:rPr>
        <w:t>.</w:t>
      </w:r>
    </w:p>
    <w:p w:rsidR="00000000" w:rsidRDefault="007258AD">
      <w:pPr>
        <w:jc w:val="both"/>
        <w:divId w:val="809008815"/>
        <w:rPr>
          <w:rFonts w:eastAsia="Times New Roman"/>
        </w:rPr>
      </w:pPr>
      <w:r>
        <w:rPr>
          <w:rFonts w:eastAsia="Times New Roman"/>
          <w:b/>
          <w:bCs/>
          <w:i/>
          <w:iCs/>
          <w:color w:val="000000"/>
          <w:sz w:val="20"/>
          <w:szCs w:val="20"/>
        </w:rPr>
        <w:t>Financing Derivative</w:t>
      </w:r>
      <w:r>
        <w:rPr>
          <w:rFonts w:eastAsia="Times New Roman"/>
          <w:b/>
          <w:bCs/>
          <w:i/>
          <w:iCs/>
          <w:color w:val="000000"/>
          <w:sz w:val="20"/>
          <w:szCs w:val="20"/>
        </w:rPr>
        <w:t>s</w:t>
      </w:r>
    </w:p>
    <w:p w:rsidR="00000000" w:rsidRDefault="007258AD">
      <w:pPr>
        <w:jc w:val="both"/>
        <w:divId w:val="771366288"/>
        <w:rPr>
          <w:rFonts w:eastAsia="Times New Roman"/>
        </w:rPr>
      </w:pPr>
      <w:r>
        <w:rPr>
          <w:rFonts w:eastAsia="Times New Roman"/>
          <w:color w:val="000000"/>
          <w:sz w:val="20"/>
          <w:szCs w:val="20"/>
        </w:rPr>
        <w:t>The Notes contain an interest rate reset feature, make-whole change of control redemption feature, and a qualifying cha</w:t>
      </w:r>
      <w:r>
        <w:rPr>
          <w:rFonts w:eastAsia="Times New Roman"/>
          <w:color w:val="000000"/>
          <w:sz w:val="20"/>
          <w:szCs w:val="20"/>
        </w:rPr>
        <w:t>nge of control redemption feature which the Company determined represent embedded derivatives that must be bifurcated and accounted for separately from the Notes. Refer to</w:t>
      </w:r>
      <w:r>
        <w:rPr>
          <w:rFonts w:eastAsia="Times New Roman"/>
          <w:color w:val="000000"/>
          <w:sz w:val="20"/>
          <w:szCs w:val="20"/>
        </w:rPr>
        <w:t xml:space="preserve"> </w:t>
      </w:r>
      <w:hyperlink w:anchor="if3309f2850e6489fbcf3fb9276fba379_76" w:history="1">
        <w:r>
          <w:rPr>
            <w:rStyle w:val="a3"/>
            <w:rFonts w:eastAsia="Times New Roman"/>
            <w:sz w:val="20"/>
            <w:szCs w:val="20"/>
          </w:rPr>
          <w:t>Footnote 6</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Fair Value Me</w:t>
      </w:r>
      <w:r>
        <w:rPr>
          <w:rFonts w:eastAsia="Times New Roman"/>
          <w:i/>
          <w:iCs/>
          <w:color w:val="000000"/>
          <w:sz w:val="20"/>
          <w:szCs w:val="20"/>
        </w:rPr>
        <w:t>asurement</w:t>
      </w:r>
      <w:r>
        <w:rPr>
          <w:rFonts w:eastAsia="Times New Roman"/>
          <w:i/>
          <w:iCs/>
          <w:color w:val="000000"/>
          <w:sz w:val="20"/>
          <w:szCs w:val="20"/>
        </w:rPr>
        <w:t>s</w:t>
      </w:r>
      <w:r>
        <w:rPr>
          <w:rFonts w:eastAsia="Times New Roman"/>
          <w:color w:val="000000"/>
          <w:sz w:val="20"/>
          <w:szCs w:val="20"/>
        </w:rPr>
        <w:t>, for further information on the Level 3 inputs utilized for the determination of the fair value of the derivatives</w:t>
      </w:r>
      <w:r>
        <w:rPr>
          <w:rFonts w:eastAsia="Times New Roman"/>
          <w:color w:val="000000"/>
          <w:sz w:val="20"/>
          <w:szCs w:val="20"/>
        </w:rPr>
        <w:t>.</w:t>
      </w:r>
    </w:p>
    <w:p w:rsidR="00000000" w:rsidRDefault="007258AD">
      <w:pPr>
        <w:jc w:val="center"/>
        <w:divId w:val="946697104"/>
        <w:rPr>
          <w:rFonts w:eastAsia="Times New Roman"/>
        </w:rPr>
      </w:pPr>
      <w:r>
        <w:rPr>
          <w:rFonts w:eastAsia="Times New Roman"/>
          <w:color w:val="000000"/>
          <w:sz w:val="20"/>
          <w:szCs w:val="20"/>
        </w:rPr>
        <w:t>1</w:t>
      </w:r>
      <w:r>
        <w:rPr>
          <w:rFonts w:eastAsia="Times New Roman"/>
          <w:color w:val="000000"/>
          <w:sz w:val="20"/>
          <w:szCs w:val="20"/>
        </w:rPr>
        <w:t>3</w:t>
      </w:r>
    </w:p>
    <w:p w:rsidR="00000000" w:rsidRDefault="007258AD">
      <w:pPr>
        <w:rPr>
          <w:rFonts w:eastAsia="Times New Roman"/>
        </w:rPr>
      </w:pPr>
      <w:r>
        <w:rPr>
          <w:rFonts w:eastAsia="Times New Roman"/>
        </w:rPr>
        <w:pict>
          <v:rect id="_x0000_i1040" style="width:0;height:1.5pt" o:hralign="center" o:hrstd="t" o:hr="t" fillcolor="#a0a0a0" stroked="f"/>
        </w:pict>
      </w:r>
    </w:p>
    <w:p w:rsidR="00000000" w:rsidRDefault="007258AD">
      <w:pPr>
        <w:jc w:val="both"/>
        <w:divId w:val="1462646227"/>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462646227"/>
        <w:rPr>
          <w:rFonts w:eastAsia="Times New Roman"/>
        </w:rPr>
      </w:pPr>
    </w:p>
    <w:p w:rsidR="00000000" w:rsidRDefault="007258AD">
      <w:pPr>
        <w:jc w:val="both"/>
        <w:divId w:val="172846095"/>
        <w:rPr>
          <w:rFonts w:eastAsia="Times New Roman"/>
        </w:rPr>
      </w:pPr>
      <w:r>
        <w:rPr>
          <w:rFonts w:eastAsia="Times New Roman"/>
          <w:color w:val="000000"/>
          <w:sz w:val="20"/>
          <w:szCs w:val="20"/>
        </w:rPr>
        <w:t>The balance of the Notes as of June 30, 2020 and December 31, 2019 was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59"/>
        <w:gridCol w:w="36"/>
        <w:gridCol w:w="56"/>
        <w:gridCol w:w="566"/>
        <w:gridCol w:w="55"/>
        <w:gridCol w:w="36"/>
        <w:gridCol w:w="36"/>
        <w:gridCol w:w="36"/>
        <w:gridCol w:w="63"/>
        <w:gridCol w:w="540"/>
        <w:gridCol w:w="62"/>
        <w:gridCol w:w="36"/>
        <w:gridCol w:w="36"/>
        <w:gridCol w:w="36"/>
        <w:gridCol w:w="125"/>
        <w:gridCol w:w="645"/>
        <w:gridCol w:w="80"/>
        <w:gridCol w:w="36"/>
        <w:gridCol w:w="36"/>
        <w:gridCol w:w="36"/>
        <w:gridCol w:w="125"/>
        <w:gridCol w:w="630"/>
        <w:gridCol w:w="80"/>
        <w:gridCol w:w="36"/>
        <w:gridCol w:w="36"/>
        <w:gridCol w:w="36"/>
        <w:gridCol w:w="125"/>
        <w:gridCol w:w="540"/>
        <w:gridCol w:w="80"/>
        <w:gridCol w:w="36"/>
        <w:gridCol w:w="36"/>
        <w:gridCol w:w="36"/>
        <w:gridCol w:w="125"/>
        <w:gridCol w:w="645"/>
        <w:gridCol w:w="80"/>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2"/>
          <w:divId w:val="760569099"/>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 except interest rates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Stated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Effective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Face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Issuance Discoun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Deferred Financing Cost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Net Carrying Valu</w:t>
            </w:r>
            <w:r>
              <w:rPr>
                <w:rFonts w:eastAsia="Times New Roman"/>
                <w:b/>
                <w:bCs/>
                <w:color w:val="000000"/>
                <w:sz w:val="16"/>
                <w:szCs w:val="16"/>
              </w:rPr>
              <w:t>e</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Initial Notes, due January 16, 202</w:t>
            </w:r>
            <w:r>
              <w:rPr>
                <w:rFonts w:eastAsia="Times New Roman"/>
                <w:color w:val="000000"/>
                <w:sz w:val="18"/>
                <w:szCs w:val="18"/>
              </w:rPr>
              <w:t>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18.8</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153,500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(11,599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(2,153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139,748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Option Notes, due January 16, 202</w:t>
            </w:r>
            <w:r>
              <w:rPr>
                <w:rFonts w:eastAsia="Times New Roman"/>
                <w:color w:val="000000"/>
                <w:sz w:val="18"/>
                <w:szCs w:val="18"/>
              </w:rPr>
              <w:t>2</w:t>
            </w: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12.0</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14.9</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50,500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48,527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w:t>
            </w:r>
            <w:r>
              <w:rPr>
                <w:rFonts w:eastAsia="Times New Roman"/>
                <w:b/>
                <w:bCs/>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204,000</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(13,451</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(2,274</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188,275</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60569099"/>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717"/>
        <w:gridCol w:w="144"/>
        <w:gridCol w:w="144"/>
        <w:gridCol w:w="697"/>
        <w:gridCol w:w="144"/>
        <w:gridCol w:w="144"/>
        <w:gridCol w:w="144"/>
        <w:gridCol w:w="144"/>
        <w:gridCol w:w="144"/>
        <w:gridCol w:w="697"/>
        <w:gridCol w:w="144"/>
        <w:gridCol w:w="144"/>
        <w:gridCol w:w="144"/>
        <w:gridCol w:w="144"/>
        <w:gridCol w:w="144"/>
        <w:gridCol w:w="697"/>
        <w:gridCol w:w="144"/>
        <w:gridCol w:w="144"/>
        <w:gridCol w:w="144"/>
        <w:gridCol w:w="144"/>
        <w:gridCol w:w="144"/>
        <w:gridCol w:w="697"/>
        <w:gridCol w:w="144"/>
        <w:gridCol w:w="144"/>
        <w:gridCol w:w="144"/>
        <w:gridCol w:w="144"/>
        <w:gridCol w:w="144"/>
        <w:gridCol w:w="697"/>
        <w:gridCol w:w="144"/>
        <w:gridCol w:w="144"/>
        <w:gridCol w:w="144"/>
        <w:gridCol w:w="144"/>
        <w:gridCol w:w="144"/>
        <w:gridCol w:w="699"/>
        <w:gridCol w:w="144"/>
        <w:gridCol w:w="480"/>
        <w:gridCol w:w="1440"/>
        <w:gridCol w:w="1440"/>
        <w:gridCol w:w="1440"/>
        <w:gridCol w:w="1440"/>
        <w:gridCol w:w="160"/>
        <w:gridCol w:w="160"/>
        <w:gridCol w:w="160"/>
        <w:gridCol w:w="480"/>
        <w:gridCol w:w="480"/>
        <w:gridCol w:w="480"/>
        <w:gridCol w:w="480"/>
        <w:gridCol w:w="480"/>
        <w:gridCol w:w="480"/>
        <w:gridCol w:w="480"/>
        <w:gridCol w:w="480"/>
        <w:gridCol w:w="480"/>
      </w:tblGrid>
      <w:tr w:rsidR="00000000">
        <w:trPr>
          <w:gridAfter w:val="12"/>
          <w:jc w:val="center"/>
        </w:trPr>
        <w:tc>
          <w:tcPr>
            <w:tcW w:w="50" w:type="pct"/>
            <w:vAlign w:val="center"/>
            <w:hideMark/>
          </w:tcPr>
          <w:p w:rsidR="00000000" w:rsidRDefault="007258AD">
            <w:pPr>
              <w:jc w:val="center"/>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2"/>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 except interest rates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Stated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Effective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Face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Issuance Discoun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Deferred Financing Cost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Net Carrying Valu</w:t>
            </w:r>
            <w:r>
              <w:rPr>
                <w:rFonts w:eastAsia="Times New Roman"/>
                <w:b/>
                <w:bCs/>
                <w:color w:val="000000"/>
                <w:sz w:val="16"/>
                <w:szCs w:val="16"/>
              </w:rPr>
              <w:t>e</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Initial Notes, due January 16, 202</w:t>
            </w:r>
            <w:r>
              <w:rPr>
                <w:rFonts w:eastAsia="Times New Roman"/>
                <w:color w:val="000000"/>
                <w:sz w:val="18"/>
                <w:szCs w:val="18"/>
              </w:rPr>
              <w:t>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18.8</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153,500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(14,703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(2,706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136,091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Option Notes, due January 16, 202</w:t>
            </w:r>
            <w:r>
              <w:rPr>
                <w:rFonts w:eastAsia="Times New Roman"/>
                <w:color w:val="000000"/>
                <w:sz w:val="18"/>
                <w:szCs w:val="18"/>
              </w:rPr>
              <w:t>2</w:t>
            </w: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12.0</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14.9</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50,500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(2,365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47,984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w:t>
            </w:r>
            <w:r>
              <w:rPr>
                <w:rFonts w:eastAsia="Times New Roman"/>
                <w:b/>
                <w:bCs/>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204,000</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(17,068</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(2,857</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184,075</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313145001"/>
        <w:rPr>
          <w:rFonts w:eastAsia="Times New Roman"/>
        </w:rPr>
      </w:pPr>
      <w:r>
        <w:rPr>
          <w:rFonts w:eastAsia="Times New Roman"/>
          <w:color w:val="000000"/>
          <w:sz w:val="20"/>
          <w:szCs w:val="20"/>
        </w:rPr>
        <w:t>Due to the interest rate reset feature of the Notes, the potential future cash flows associated with the Notes are variable. Accordingly, the accretion schedule of debt discount and the amortization schedule of deferred financing costs are updated annually</w:t>
      </w:r>
      <w:r>
        <w:rPr>
          <w:rFonts w:eastAsia="Times New Roman"/>
          <w:color w:val="000000"/>
          <w:sz w:val="20"/>
          <w:szCs w:val="20"/>
        </w:rPr>
        <w:t xml:space="preserve"> to reflect periodic changes in the future cash flows using the effective interest rate on a prospective basis</w:t>
      </w:r>
      <w:r>
        <w:rPr>
          <w:rFonts w:eastAsia="Times New Roman"/>
          <w:color w:val="000000"/>
          <w:sz w:val="20"/>
          <w:szCs w:val="20"/>
        </w:rPr>
        <w:t>.</w:t>
      </w:r>
    </w:p>
    <w:p w:rsidR="00000000" w:rsidRDefault="007258AD">
      <w:pPr>
        <w:jc w:val="both"/>
        <w:divId w:val="410349440"/>
        <w:rPr>
          <w:rFonts w:eastAsia="Times New Roman"/>
        </w:rPr>
      </w:pPr>
      <w:r>
        <w:rPr>
          <w:rFonts w:eastAsia="Times New Roman"/>
          <w:color w:val="000000"/>
          <w:sz w:val="20"/>
          <w:szCs w:val="20"/>
        </w:rPr>
        <w:t>The Company amortized $0.3 million and $0.6 million in deferred financing costs related to the Notes during the three and six months ended June </w:t>
      </w:r>
      <w:r>
        <w:rPr>
          <w:rFonts w:eastAsia="Times New Roman"/>
          <w:color w:val="000000"/>
          <w:sz w:val="20"/>
          <w:szCs w:val="20"/>
        </w:rPr>
        <w:t xml:space="preserve">30, 2020, respectively; and $0.3 million and $0.5 million during the three and six months ended June 30, 2019, respectively. The Company accreted $1.8 million and $3.6 million in issuance discount related to the Notes during the three and six months ended </w:t>
      </w:r>
      <w:r>
        <w:rPr>
          <w:rFonts w:eastAsia="Times New Roman"/>
          <w:color w:val="000000"/>
          <w:sz w:val="20"/>
          <w:szCs w:val="20"/>
        </w:rPr>
        <w:t>June 30, 2020, respectively; and $1.7 million and $3.0 million during the three and six months ended June 30, 2019, respectively</w:t>
      </w:r>
      <w:r>
        <w:rPr>
          <w:rFonts w:eastAsia="Times New Roman"/>
          <w:color w:val="000000"/>
          <w:sz w:val="20"/>
          <w:szCs w:val="20"/>
        </w:rPr>
        <w:t>.</w:t>
      </w:r>
    </w:p>
    <w:p w:rsidR="00000000" w:rsidRDefault="007258AD">
      <w:pPr>
        <w:jc w:val="both"/>
        <w:divId w:val="980882413"/>
        <w:rPr>
          <w:rFonts w:eastAsia="Times New Roman"/>
        </w:rPr>
      </w:pPr>
      <w:r>
        <w:rPr>
          <w:rFonts w:eastAsia="Times New Roman"/>
          <w:color w:val="000000"/>
          <w:sz w:val="20"/>
          <w:szCs w:val="20"/>
        </w:rPr>
        <w:t>The estimated fair value of the Notes, using Level 3 inputs based on interest rates available for debt with terms and maturiti</w:t>
      </w:r>
      <w:r>
        <w:rPr>
          <w:rFonts w:eastAsia="Times New Roman"/>
          <w:color w:val="000000"/>
          <w:sz w:val="20"/>
          <w:szCs w:val="20"/>
        </w:rPr>
        <w:t>es similar to the Company's Notes, was $171.0 million as of June 30, 2020</w:t>
      </w:r>
      <w:r>
        <w:rPr>
          <w:rFonts w:eastAsia="Times New Roman"/>
          <w:color w:val="000000"/>
          <w:sz w:val="20"/>
          <w:szCs w:val="20"/>
        </w:rPr>
        <w:t>.</w:t>
      </w:r>
    </w:p>
    <w:p w:rsidR="00000000" w:rsidRDefault="007258AD">
      <w:pPr>
        <w:jc w:val="both"/>
        <w:divId w:val="1862696384"/>
        <w:rPr>
          <w:rFonts w:eastAsia="Times New Roman"/>
        </w:rPr>
      </w:pPr>
      <w:r>
        <w:rPr>
          <w:rFonts w:eastAsia="Times New Roman"/>
          <w:b/>
          <w:bCs/>
          <w:i/>
          <w:iCs/>
          <w:color w:val="000000"/>
          <w:sz w:val="20"/>
          <w:szCs w:val="20"/>
        </w:rPr>
        <w:t>Guarantee and Security of Note</w:t>
      </w:r>
      <w:r>
        <w:rPr>
          <w:rFonts w:eastAsia="Times New Roman"/>
          <w:b/>
          <w:bCs/>
          <w:i/>
          <w:iCs/>
          <w:color w:val="000000"/>
          <w:sz w:val="20"/>
          <w:szCs w:val="20"/>
        </w:rPr>
        <w:t>s</w:t>
      </w:r>
    </w:p>
    <w:p w:rsidR="00000000" w:rsidRDefault="007258AD">
      <w:pPr>
        <w:jc w:val="both"/>
        <w:divId w:val="1245921401"/>
        <w:rPr>
          <w:rFonts w:eastAsia="Times New Roman"/>
        </w:rPr>
      </w:pPr>
      <w:r>
        <w:rPr>
          <w:rFonts w:eastAsia="Times New Roman"/>
          <w:color w:val="000000"/>
          <w:sz w:val="20"/>
          <w:szCs w:val="20"/>
        </w:rPr>
        <w:t>The Notes are guaranteed by certain of the Company's direct and indirect wholly-owned domestic subsidiaries (the "Guarantors") and are secured by a s</w:t>
      </w:r>
      <w:r>
        <w:rPr>
          <w:rFonts w:eastAsia="Times New Roman"/>
          <w:color w:val="000000"/>
          <w:sz w:val="20"/>
          <w:szCs w:val="20"/>
        </w:rPr>
        <w:t>ecurity interest in substantially all of the assets of the Company and the Guarantors, pursuant to a Guaranty, dated as of January 16, 2018, entered into by the Guarantors, and a Pledge and Security Agreement, dated as of January 16, 2018, among the Compan</w:t>
      </w:r>
      <w:r>
        <w:rPr>
          <w:rFonts w:eastAsia="Times New Roman"/>
          <w:color w:val="000000"/>
          <w:sz w:val="20"/>
          <w:szCs w:val="20"/>
        </w:rPr>
        <w:t>y, the Guarantors and Starboard Value and Opportunity Master Fund Ltd. as collateral agent.</w:t>
      </w:r>
      <w:r>
        <w:rPr>
          <w:rFonts w:eastAsia="Times New Roman"/>
          <w:color w:val="000000"/>
          <w:sz w:val="20"/>
          <w:szCs w:val="20"/>
        </w:rPr>
        <w:t xml:space="preserve"> </w:t>
      </w:r>
    </w:p>
    <w:p w:rsidR="00000000" w:rsidRDefault="007258AD">
      <w:pPr>
        <w:jc w:val="both"/>
        <w:divId w:val="192768083"/>
        <w:rPr>
          <w:rFonts w:eastAsia="Times New Roman"/>
        </w:rPr>
      </w:pPr>
      <w:r>
        <w:rPr>
          <w:rFonts w:eastAsia="Times New Roman"/>
          <w:b/>
          <w:bCs/>
          <w:i/>
          <w:iCs/>
          <w:color w:val="000000"/>
          <w:sz w:val="20"/>
          <w:szCs w:val="20"/>
        </w:rPr>
        <w:t>Issuance of Secured Term Not</w:t>
      </w:r>
      <w:r>
        <w:rPr>
          <w:rFonts w:eastAsia="Times New Roman"/>
          <w:b/>
          <w:bCs/>
          <w:i/>
          <w:iCs/>
          <w:color w:val="000000"/>
          <w:sz w:val="20"/>
          <w:szCs w:val="20"/>
        </w:rPr>
        <w:t>e</w:t>
      </w:r>
    </w:p>
    <w:p w:rsidR="00000000" w:rsidRDefault="007258AD">
      <w:pPr>
        <w:jc w:val="both"/>
        <w:divId w:val="1797791019"/>
        <w:rPr>
          <w:rFonts w:eastAsia="Times New Roman"/>
        </w:rPr>
      </w:pPr>
      <w:r>
        <w:rPr>
          <w:rFonts w:eastAsia="Times New Roman"/>
          <w:color w:val="000000"/>
          <w:sz w:val="20"/>
          <w:szCs w:val="20"/>
        </w:rPr>
        <w:t>On December 31, 2019, the Company's wholly owned subsidiary, Rentrak B.V., entered into an agreement with the Noteholder for the Secu</w:t>
      </w:r>
      <w:r>
        <w:rPr>
          <w:rFonts w:eastAsia="Times New Roman"/>
          <w:color w:val="000000"/>
          <w:sz w:val="20"/>
          <w:szCs w:val="20"/>
        </w:rPr>
        <w:t>red Term Note for aggregate gross proceeds of $13.0 million. The Secured Term Note, which is cash collateralized, matures on December 31, 2021 and has an annual interest rate of 9.75%. Interest is payable in arrears on the last business day of each calenda</w:t>
      </w:r>
      <w:r>
        <w:rPr>
          <w:rFonts w:eastAsia="Times New Roman"/>
          <w:color w:val="000000"/>
          <w:sz w:val="20"/>
          <w:szCs w:val="20"/>
        </w:rPr>
        <w:t>r month commencing on January 31, 2020</w:t>
      </w:r>
      <w:r>
        <w:rPr>
          <w:rFonts w:eastAsia="Times New Roman"/>
          <w:color w:val="000000"/>
          <w:sz w:val="20"/>
          <w:szCs w:val="20"/>
        </w:rPr>
        <w:t>.</w:t>
      </w:r>
    </w:p>
    <w:p w:rsidR="00000000" w:rsidRDefault="007258AD">
      <w:pPr>
        <w:jc w:val="both"/>
        <w:divId w:val="388385127"/>
        <w:rPr>
          <w:rFonts w:eastAsia="Times New Roman"/>
        </w:rPr>
      </w:pPr>
      <w:r>
        <w:rPr>
          <w:rFonts w:eastAsia="Times New Roman"/>
          <w:color w:val="000000"/>
          <w:sz w:val="20"/>
          <w:szCs w:val="20"/>
        </w:rPr>
        <w:t>The Secured Term Note contains certain affirmative and restrictive covenants with which Rentrak B.V. must comply, including (i) maintenance of a minimum cash collateral balance of $14.8 million, (ii) provision of cer</w:t>
      </w:r>
      <w:r>
        <w:rPr>
          <w:rFonts w:eastAsia="Times New Roman"/>
          <w:color w:val="000000"/>
          <w:sz w:val="20"/>
          <w:szCs w:val="20"/>
        </w:rPr>
        <w:t xml:space="preserve">tain financial statements, (iii) limitations on additional indebtedness and liens, (iv) limitations on repayment of debt, (v) limitations on repurchase of stock, and (vi) limitations on disposition of assets. Rentrak B.V. is in compliance with the Secured </w:t>
      </w:r>
      <w:r>
        <w:rPr>
          <w:rFonts w:eastAsia="Times New Roman"/>
          <w:color w:val="000000"/>
          <w:sz w:val="20"/>
          <w:szCs w:val="20"/>
        </w:rPr>
        <w:t>Term Note covenants as of June 30, 2020</w:t>
      </w:r>
      <w:r>
        <w:rPr>
          <w:rFonts w:eastAsia="Times New Roman"/>
          <w:color w:val="000000"/>
          <w:sz w:val="20"/>
          <w:szCs w:val="20"/>
        </w:rPr>
        <w:t>.</w:t>
      </w:r>
    </w:p>
    <w:p w:rsidR="00000000" w:rsidRDefault="007258AD">
      <w:pPr>
        <w:jc w:val="both"/>
        <w:divId w:val="373622406"/>
        <w:rPr>
          <w:rFonts w:eastAsia="Times New Roman"/>
        </w:rPr>
      </w:pPr>
      <w:r>
        <w:rPr>
          <w:rFonts w:eastAsia="Times New Roman"/>
          <w:color w:val="000000"/>
          <w:sz w:val="20"/>
          <w:szCs w:val="20"/>
        </w:rPr>
        <w:t>The balance of the Secured Term Note as of June 30, 2020 and December 31, 2019 was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331"/>
        <w:gridCol w:w="41"/>
        <w:gridCol w:w="56"/>
        <w:gridCol w:w="598"/>
        <w:gridCol w:w="55"/>
        <w:gridCol w:w="36"/>
        <w:gridCol w:w="36"/>
        <w:gridCol w:w="36"/>
        <w:gridCol w:w="63"/>
        <w:gridCol w:w="577"/>
        <w:gridCol w:w="62"/>
        <w:gridCol w:w="36"/>
        <w:gridCol w:w="36"/>
        <w:gridCol w:w="36"/>
        <w:gridCol w:w="125"/>
        <w:gridCol w:w="592"/>
        <w:gridCol w:w="80"/>
        <w:gridCol w:w="36"/>
        <w:gridCol w:w="36"/>
        <w:gridCol w:w="36"/>
        <w:gridCol w:w="126"/>
        <w:gridCol w:w="614"/>
        <w:gridCol w:w="80"/>
        <w:gridCol w:w="36"/>
        <w:gridCol w:w="36"/>
        <w:gridCol w:w="36"/>
        <w:gridCol w:w="125"/>
        <w:gridCol w:w="616"/>
        <w:gridCol w:w="80"/>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2"/>
          <w:divId w:val="62291807"/>
          <w:jc w:val="center"/>
        </w:trPr>
        <w:tc>
          <w:tcPr>
            <w:tcW w:w="50" w:type="pct"/>
            <w:vAlign w:val="center"/>
            <w:hideMark/>
          </w:tcPr>
          <w:p w:rsidR="00000000" w:rsidRDefault="007258AD">
            <w:pPr>
              <w:jc w:val="both"/>
              <w:rPr>
                <w:rFonts w:eastAsia="Times New Roman"/>
              </w:rPr>
            </w:pPr>
          </w:p>
        </w:tc>
        <w:tc>
          <w:tcPr>
            <w:tcW w:w="218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6229180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6229180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62291807"/>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 except interest rates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Stated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Effective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Face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Deferred Financing Cost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Net Carrying Valu</w:t>
            </w:r>
            <w:r>
              <w:rPr>
                <w:rFonts w:eastAsia="Times New Roman"/>
                <w:b/>
                <w:bCs/>
                <w:color w:val="000000"/>
                <w:sz w:val="16"/>
                <w:szCs w:val="16"/>
              </w:rPr>
              <w:t>e</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6229180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Secured Term Not</w:t>
            </w:r>
            <w:r>
              <w:rPr>
                <w:rFonts w:eastAsia="Times New Roman"/>
                <w:color w:val="000000"/>
                <w:sz w:val="18"/>
                <w:szCs w:val="18"/>
              </w:rPr>
              <w: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9.75</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12.8</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13,000</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(512</w:t>
            </w: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12,488</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center"/>
        <w:divId w:val="410542861"/>
        <w:rPr>
          <w:rFonts w:eastAsia="Times New Roman"/>
        </w:rPr>
      </w:pPr>
      <w:r>
        <w:rPr>
          <w:rFonts w:eastAsia="Times New Roman"/>
          <w:color w:val="000000"/>
          <w:sz w:val="20"/>
          <w:szCs w:val="20"/>
        </w:rPr>
        <w:t>1</w:t>
      </w:r>
      <w:r>
        <w:rPr>
          <w:rFonts w:eastAsia="Times New Roman"/>
          <w:color w:val="000000"/>
          <w:sz w:val="20"/>
          <w:szCs w:val="20"/>
        </w:rPr>
        <w:t>4</w:t>
      </w:r>
    </w:p>
    <w:p w:rsidR="00000000" w:rsidRDefault="007258AD">
      <w:pPr>
        <w:rPr>
          <w:rFonts w:eastAsia="Times New Roman"/>
        </w:rPr>
      </w:pPr>
      <w:r>
        <w:rPr>
          <w:rFonts w:eastAsia="Times New Roman"/>
        </w:rPr>
        <w:pict>
          <v:rect id="_x0000_i1041" style="width:0;height:1.5pt" o:hralign="center" o:hrstd="t" o:hr="t" fillcolor="#a0a0a0" stroked="f"/>
        </w:pict>
      </w:r>
    </w:p>
    <w:p w:rsidR="00000000" w:rsidRDefault="007258AD">
      <w:pPr>
        <w:jc w:val="both"/>
        <w:divId w:val="914171043"/>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91417104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331"/>
        <w:gridCol w:w="41"/>
        <w:gridCol w:w="56"/>
        <w:gridCol w:w="598"/>
        <w:gridCol w:w="55"/>
        <w:gridCol w:w="36"/>
        <w:gridCol w:w="36"/>
        <w:gridCol w:w="36"/>
        <w:gridCol w:w="63"/>
        <w:gridCol w:w="577"/>
        <w:gridCol w:w="62"/>
        <w:gridCol w:w="36"/>
        <w:gridCol w:w="36"/>
        <w:gridCol w:w="36"/>
        <w:gridCol w:w="125"/>
        <w:gridCol w:w="592"/>
        <w:gridCol w:w="80"/>
        <w:gridCol w:w="36"/>
        <w:gridCol w:w="36"/>
        <w:gridCol w:w="36"/>
        <w:gridCol w:w="126"/>
        <w:gridCol w:w="614"/>
        <w:gridCol w:w="80"/>
        <w:gridCol w:w="36"/>
        <w:gridCol w:w="36"/>
        <w:gridCol w:w="36"/>
        <w:gridCol w:w="125"/>
        <w:gridCol w:w="616"/>
        <w:gridCol w:w="80"/>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2"/>
          <w:divId w:val="7568411"/>
          <w:jc w:val="center"/>
        </w:trPr>
        <w:tc>
          <w:tcPr>
            <w:tcW w:w="50" w:type="pct"/>
            <w:vAlign w:val="center"/>
            <w:hideMark/>
          </w:tcPr>
          <w:p w:rsidR="00000000" w:rsidRDefault="007258AD">
            <w:pPr>
              <w:jc w:val="both"/>
              <w:rPr>
                <w:rFonts w:eastAsia="Times New Roman"/>
              </w:rPr>
            </w:pPr>
          </w:p>
        </w:tc>
        <w:tc>
          <w:tcPr>
            <w:tcW w:w="218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568411"/>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568411"/>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568411"/>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 except interest rates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Stated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Effective Interest Rat</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Face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Deferred Financing Cost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Net Carrying Valu</w:t>
            </w:r>
            <w:r>
              <w:rPr>
                <w:rFonts w:eastAsia="Times New Roman"/>
                <w:b/>
                <w:bCs/>
                <w:color w:val="000000"/>
                <w:sz w:val="16"/>
                <w:szCs w:val="16"/>
              </w:rPr>
              <w:t>e</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568411"/>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Secured Term Not</w:t>
            </w:r>
            <w:r>
              <w:rPr>
                <w:rFonts w:eastAsia="Times New Roman"/>
                <w:color w:val="000000"/>
                <w:sz w:val="18"/>
                <w:szCs w:val="18"/>
              </w:rPr>
              <w: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9.75</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12.2</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13,000</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(537</w:t>
            </w: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12,463</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868445949"/>
        <w:rPr>
          <w:rFonts w:eastAsia="Times New Roman"/>
        </w:rPr>
      </w:pPr>
      <w:r>
        <w:rPr>
          <w:rFonts w:eastAsia="Times New Roman"/>
          <w:color w:val="000000"/>
          <w:sz w:val="20"/>
          <w:szCs w:val="20"/>
        </w:rPr>
        <w:t>The Company amortized $0.1 million and $0.2 million in deferred financing costs related to the Secured Term Note du</w:t>
      </w:r>
      <w:r>
        <w:rPr>
          <w:rFonts w:eastAsia="Times New Roman"/>
          <w:color w:val="000000"/>
          <w:sz w:val="20"/>
          <w:szCs w:val="20"/>
        </w:rPr>
        <w:t>ring the three and six months ended June 30, 2020, respectively.</w:t>
      </w:r>
      <w:r>
        <w:rPr>
          <w:rFonts w:eastAsia="Times New Roman"/>
          <w:color w:val="000000"/>
          <w:sz w:val="20"/>
          <w:szCs w:val="20"/>
        </w:rPr>
        <w:t xml:space="preserve"> </w:t>
      </w:r>
    </w:p>
    <w:p w:rsidR="00000000" w:rsidRDefault="007258AD">
      <w:pPr>
        <w:jc w:val="both"/>
        <w:divId w:val="107968724"/>
        <w:rPr>
          <w:rFonts w:eastAsia="Times New Roman"/>
        </w:rPr>
      </w:pPr>
      <w:r>
        <w:rPr>
          <w:rFonts w:eastAsia="Times New Roman"/>
          <w:color w:val="000000"/>
          <w:sz w:val="20"/>
          <w:szCs w:val="20"/>
        </w:rPr>
        <w:t>The estimated fair value of the Secured Term Note, using Level 2 inputs based on interest rates available for debt with terms and maturities similar to the Company's Secured Term Note, was $</w:t>
      </w:r>
      <w:r>
        <w:rPr>
          <w:rFonts w:eastAsia="Times New Roman"/>
          <w:color w:val="000000"/>
          <w:sz w:val="20"/>
          <w:szCs w:val="20"/>
        </w:rPr>
        <w:t>14.9 million as of June 30, 2020</w:t>
      </w:r>
      <w:r>
        <w:rPr>
          <w:rFonts w:eastAsia="Times New Roman"/>
          <w:color w:val="000000"/>
          <w:sz w:val="20"/>
          <w:szCs w:val="20"/>
        </w:rPr>
        <w:t>.</w:t>
      </w:r>
    </w:p>
    <w:p w:rsidR="00000000" w:rsidRDefault="007258AD">
      <w:pPr>
        <w:jc w:val="both"/>
        <w:divId w:val="436369113"/>
        <w:rPr>
          <w:rFonts w:eastAsia="Times New Roman"/>
        </w:rPr>
      </w:pPr>
      <w:r>
        <w:rPr>
          <w:rFonts w:eastAsia="Times New Roman"/>
          <w:b/>
          <w:bCs/>
          <w:i/>
          <w:iCs/>
          <w:color w:val="000000"/>
          <w:sz w:val="20"/>
          <w:szCs w:val="20"/>
        </w:rPr>
        <w:t>Letters of Credi</w:t>
      </w:r>
      <w:r>
        <w:rPr>
          <w:rFonts w:eastAsia="Times New Roman"/>
          <w:b/>
          <w:bCs/>
          <w:i/>
          <w:iCs/>
          <w:color w:val="000000"/>
          <w:sz w:val="20"/>
          <w:szCs w:val="20"/>
        </w:rPr>
        <w:t>t</w:t>
      </w:r>
    </w:p>
    <w:p w:rsidR="00000000" w:rsidRDefault="007258AD">
      <w:pPr>
        <w:jc w:val="both"/>
        <w:divId w:val="451753357"/>
        <w:rPr>
          <w:rFonts w:eastAsia="Times New Roman"/>
        </w:rPr>
      </w:pPr>
      <w:r>
        <w:rPr>
          <w:rFonts w:eastAsia="Times New Roman"/>
          <w:color w:val="000000"/>
          <w:sz w:val="20"/>
          <w:szCs w:val="20"/>
        </w:rPr>
        <w:t>In 2018, the Company entered into a Security Agreement with Wells Fargo Bank, N.A. to issue standby letters of credit. As of June 30, 2020, $3.3 million in letters of credit are outstanding and are cash c</w:t>
      </w:r>
      <w:r>
        <w:rPr>
          <w:rFonts w:eastAsia="Times New Roman"/>
          <w:color w:val="000000"/>
          <w:sz w:val="20"/>
          <w:szCs w:val="20"/>
        </w:rPr>
        <w:t>ollateralized under the Security Agreement with Wells Fargo Bank, N.A</w:t>
      </w:r>
      <w:r>
        <w:rPr>
          <w:rFonts w:eastAsia="Times New Roman"/>
          <w:color w:val="000000"/>
          <w:sz w:val="20"/>
          <w:szCs w:val="20"/>
        </w:rPr>
        <w:t>.</w:t>
      </w:r>
    </w:p>
    <w:p w:rsidR="00000000" w:rsidRDefault="007258AD">
      <w:pPr>
        <w:jc w:val="both"/>
        <w:divId w:val="163710398"/>
        <w:rPr>
          <w:rFonts w:eastAsia="Times New Roman"/>
        </w:rPr>
      </w:pPr>
      <w:r>
        <w:rPr>
          <w:rFonts w:eastAsia="Times New Roman"/>
          <w:b/>
          <w:bCs/>
          <w:i/>
          <w:iCs/>
          <w:color w:val="000000"/>
          <w:sz w:val="20"/>
          <w:szCs w:val="20"/>
        </w:rPr>
        <w:t>Failed Sale-Leaseback Transactio</w:t>
      </w:r>
      <w:r>
        <w:rPr>
          <w:rFonts w:eastAsia="Times New Roman"/>
          <w:b/>
          <w:bCs/>
          <w:i/>
          <w:iCs/>
          <w:color w:val="000000"/>
          <w:sz w:val="20"/>
          <w:szCs w:val="20"/>
        </w:rPr>
        <w:t>n</w:t>
      </w:r>
    </w:p>
    <w:p w:rsidR="00000000" w:rsidRDefault="007258AD">
      <w:pPr>
        <w:jc w:val="both"/>
        <w:divId w:val="1111627294"/>
        <w:rPr>
          <w:rFonts w:eastAsia="Times New Roman"/>
        </w:rPr>
      </w:pPr>
      <w:r>
        <w:rPr>
          <w:rFonts w:eastAsia="Times New Roman"/>
          <w:color w:val="000000"/>
          <w:sz w:val="20"/>
          <w:szCs w:val="20"/>
        </w:rPr>
        <w:t>In June 2019, the Company entered into a sale-leaseback arrangement with a vendor to provide $4.3 million in cash proceeds for previously acquired comp</w:t>
      </w:r>
      <w:r>
        <w:rPr>
          <w:rFonts w:eastAsia="Times New Roman"/>
          <w:color w:val="000000"/>
          <w:sz w:val="20"/>
          <w:szCs w:val="20"/>
        </w:rPr>
        <w:t>uter and other equipment. The arrangement is repayable over a 24-month term for total consideration of $4.8 million, with control of the equipment transferring to the vendor at the end of the leaseback term</w:t>
      </w:r>
      <w:r>
        <w:rPr>
          <w:rFonts w:eastAsia="Times New Roman"/>
          <w:color w:val="000000"/>
          <w:sz w:val="20"/>
          <w:szCs w:val="20"/>
        </w:rPr>
        <w:t>.</w:t>
      </w:r>
    </w:p>
    <w:p w:rsidR="00000000" w:rsidRDefault="007258AD">
      <w:pPr>
        <w:jc w:val="both"/>
        <w:divId w:val="64185620"/>
        <w:rPr>
          <w:rFonts w:eastAsia="Times New Roman"/>
        </w:rPr>
      </w:pPr>
      <w:r>
        <w:rPr>
          <w:rFonts w:eastAsia="Times New Roman"/>
          <w:color w:val="000000"/>
          <w:sz w:val="20"/>
          <w:szCs w:val="20"/>
        </w:rPr>
        <w:t>The Company concluded the leaseback would be classified as a financing lease. Therefore, the transaction was deemed a failed sale-leaseback and was accounted for as a financing arrangement. The assets continue to be depreciated over their useful lives, and</w:t>
      </w:r>
      <w:r>
        <w:rPr>
          <w:rFonts w:eastAsia="Times New Roman"/>
          <w:color w:val="000000"/>
          <w:sz w:val="20"/>
          <w:szCs w:val="20"/>
        </w:rPr>
        <w:t xml:space="preserve"> payments are allocated between interest expense and repayment of the financing liability. The remaining financing liability of $2.6 million is included within other current liabilities on the Condensed Consolidated Balance Sheet</w:t>
      </w:r>
      <w:r>
        <w:rPr>
          <w:rFonts w:eastAsia="Times New Roman"/>
          <w:color w:val="000000"/>
          <w:sz w:val="20"/>
          <w:szCs w:val="20"/>
        </w:rPr>
        <w:t>.</w:t>
      </w:r>
    </w:p>
    <w:p w:rsidR="00000000" w:rsidRDefault="007258AD">
      <w:pPr>
        <w:jc w:val="both"/>
        <w:divId w:val="1359501872"/>
        <w:rPr>
          <w:rFonts w:eastAsia="Times New Roman"/>
        </w:rPr>
      </w:pPr>
      <w:r>
        <w:rPr>
          <w:rFonts w:eastAsia="Times New Roman"/>
          <w:color w:val="000000"/>
          <w:sz w:val="20"/>
          <w:szCs w:val="20"/>
        </w:rPr>
        <w:t>Future minimum payments r</w:t>
      </w:r>
      <w:r>
        <w:rPr>
          <w:rFonts w:eastAsia="Times New Roman"/>
          <w:color w:val="000000"/>
          <w:sz w:val="20"/>
          <w:szCs w:val="20"/>
        </w:rPr>
        <w:t>elated to the financing obligations under the failed sale-leaseback transaction as of June 30, 2020 are summarized below</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7035"/>
        <w:gridCol w:w="73"/>
        <w:gridCol w:w="126"/>
        <w:gridCol w:w="920"/>
        <w:gridCol w:w="80"/>
      </w:tblGrid>
      <w:tr w:rsidR="00000000">
        <w:trPr>
          <w:divId w:val="1484463998"/>
          <w:jc w:val="center"/>
        </w:trPr>
        <w:tc>
          <w:tcPr>
            <w:tcW w:w="50" w:type="pct"/>
            <w:vAlign w:val="center"/>
            <w:hideMark/>
          </w:tcPr>
          <w:p w:rsidR="00000000" w:rsidRDefault="007258AD">
            <w:pPr>
              <w:jc w:val="both"/>
              <w:rPr>
                <w:rFonts w:eastAsia="Times New Roman"/>
              </w:rPr>
            </w:pPr>
          </w:p>
        </w:tc>
        <w:tc>
          <w:tcPr>
            <w:tcW w:w="424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484463998"/>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i/>
                <w:iCs/>
                <w:color w:val="000000"/>
                <w:sz w:val="16"/>
                <w:szCs w:val="16"/>
              </w:rPr>
              <w:t>(In thousands</w:t>
            </w:r>
            <w:r>
              <w:rPr>
                <w:rFonts w:eastAsia="Times New Roman"/>
                <w:b/>
                <w:bCs/>
                <w:i/>
                <w:iCs/>
                <w:color w:val="000000"/>
                <w:sz w:val="16"/>
                <w:szCs w:val="16"/>
              </w:rPr>
              <w:t>)</w:t>
            </w:r>
          </w:p>
        </w:tc>
      </w:tr>
      <w:tr w:rsidR="00000000">
        <w:trPr>
          <w:divId w:val="148446399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Remainder of 202</w:t>
            </w:r>
            <w:r>
              <w:rPr>
                <w:rFonts w:eastAsia="Times New Roman"/>
                <w:color w:val="000000"/>
                <w:sz w:val="18"/>
                <w:szCs w:val="18"/>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48446399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484463998"/>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484463998"/>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484463998"/>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48446399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ind w:hanging="360"/>
        <w:jc w:val="both"/>
        <w:divId w:val="1136944761"/>
        <w:rPr>
          <w:rFonts w:eastAsia="Times New Roman"/>
        </w:rPr>
      </w:pPr>
      <w:r>
        <w:rPr>
          <w:rFonts w:eastAsia="Times New Roman"/>
          <w:b/>
          <w:bCs/>
          <w:color w:val="000000"/>
          <w:sz w:val="20"/>
          <w:szCs w:val="20"/>
        </w:rPr>
        <w:t>5</w:t>
      </w:r>
      <w:r>
        <w:rPr>
          <w:rFonts w:eastAsia="Times New Roman"/>
          <w:b/>
          <w:bCs/>
          <w:color w:val="000000"/>
          <w:sz w:val="20"/>
          <w:szCs w:val="20"/>
        </w:rPr>
        <w:t>.</w:t>
      </w:r>
      <w:r>
        <w:rPr>
          <w:rFonts w:eastAsia="Times New Roman"/>
          <w:b/>
          <w:bCs/>
          <w:color w:val="000000"/>
          <w:sz w:val="20"/>
          <w:szCs w:val="20"/>
        </w:rPr>
        <w:t>Stockholders' Equit</w:t>
      </w:r>
      <w:r>
        <w:rPr>
          <w:rFonts w:eastAsia="Times New Roman"/>
          <w:b/>
          <w:bCs/>
          <w:color w:val="000000"/>
          <w:sz w:val="20"/>
          <w:szCs w:val="20"/>
        </w:rPr>
        <w:t>y</w:t>
      </w:r>
    </w:p>
    <w:p w:rsidR="00000000" w:rsidRDefault="007258AD">
      <w:pPr>
        <w:jc w:val="both"/>
        <w:divId w:val="1582644407"/>
        <w:rPr>
          <w:rFonts w:eastAsia="Times New Roman"/>
        </w:rPr>
      </w:pPr>
      <w:r>
        <w:rPr>
          <w:rFonts w:eastAsia="Times New Roman"/>
          <w:b/>
          <w:bCs/>
          <w:i/>
          <w:iCs/>
          <w:color w:val="000000"/>
          <w:sz w:val="20"/>
          <w:szCs w:val="20"/>
        </w:rPr>
        <w:t>2019 Issuance and Sale of Common Stock and Warrants</w:t>
      </w:r>
      <w:r>
        <w:rPr>
          <w:rFonts w:eastAsia="Times New Roman"/>
          <w:b/>
          <w:bCs/>
          <w:i/>
          <w:iCs/>
          <w:color w:val="000000"/>
          <w:sz w:val="20"/>
          <w:szCs w:val="20"/>
        </w:rPr>
        <w:t xml:space="preserve"> </w:t>
      </w:r>
    </w:p>
    <w:p w:rsidR="00000000" w:rsidRDefault="007258AD">
      <w:pPr>
        <w:jc w:val="both"/>
        <w:divId w:val="1667975661"/>
        <w:rPr>
          <w:rFonts w:eastAsia="Times New Roman"/>
        </w:rPr>
      </w:pPr>
      <w:r>
        <w:rPr>
          <w:rFonts w:eastAsia="Times New Roman"/>
          <w:color w:val="000000"/>
          <w:sz w:val="20"/>
          <w:szCs w:val="20"/>
        </w:rPr>
        <w:t>On June 23, 2019, the Company entered into a Securities Purchase Agreement (the "Purchase Agreement") with CVI, pursuant to which CVI agreed to purchase (i) 2,728,513 shares of Commo</w:t>
      </w:r>
      <w:r>
        <w:rPr>
          <w:rFonts w:eastAsia="Times New Roman"/>
          <w:color w:val="000000"/>
          <w:sz w:val="20"/>
          <w:szCs w:val="20"/>
        </w:rPr>
        <w:t xml:space="preserve">n Stock (the "Initial Shares"), at a price of $7.33 per share and (ii) Series A Warrants, Series B-1 Warrants, Series B-2 Warrants and Series C Warrants, for aggregate gross proceeds of $20.0 million (the "Private Placement"). The Private Placement closed </w:t>
      </w:r>
      <w:r>
        <w:rPr>
          <w:rFonts w:eastAsia="Times New Roman"/>
          <w:color w:val="000000"/>
          <w:sz w:val="20"/>
          <w:szCs w:val="20"/>
        </w:rPr>
        <w:t>on June 26, 2019 (the "Closing Date")</w:t>
      </w:r>
      <w:r>
        <w:rPr>
          <w:rFonts w:eastAsia="Times New Roman"/>
          <w:color w:val="000000"/>
          <w:sz w:val="20"/>
          <w:szCs w:val="20"/>
        </w:rPr>
        <w:t>.</w:t>
      </w:r>
    </w:p>
    <w:p w:rsidR="00000000" w:rsidRDefault="007258AD">
      <w:pPr>
        <w:jc w:val="both"/>
        <w:divId w:val="445664560"/>
        <w:rPr>
          <w:rFonts w:eastAsia="Times New Roman"/>
        </w:rPr>
      </w:pPr>
      <w:r>
        <w:rPr>
          <w:rFonts w:eastAsia="Times New Roman"/>
          <w:color w:val="000000"/>
          <w:sz w:val="20"/>
          <w:szCs w:val="20"/>
        </w:rPr>
        <w:t>The Series B-1 Warrants were exercisable by the holders at any time prior to the six-month anniversary of the Closing Date, as adjusted pursuant to the terms of the Series B-1 Warrants. The Series B-1 Warrants provide</w:t>
      </w:r>
      <w:r>
        <w:rPr>
          <w:rFonts w:eastAsia="Times New Roman"/>
          <w:color w:val="000000"/>
          <w:sz w:val="20"/>
          <w:szCs w:val="20"/>
        </w:rPr>
        <w:t>d the holders the right to purchase an aggregate of up to 2,347,418 shares of Common Stock at an exercise price equal to $8.52 and could have been exercised for cash only. The Series B-1 Warrants expired on January 29, 2020</w:t>
      </w:r>
      <w:r>
        <w:rPr>
          <w:rFonts w:eastAsia="Times New Roman"/>
          <w:color w:val="000000"/>
          <w:sz w:val="20"/>
          <w:szCs w:val="20"/>
        </w:rPr>
        <w:t>.</w:t>
      </w:r>
    </w:p>
    <w:p w:rsidR="00000000" w:rsidRDefault="007258AD">
      <w:pPr>
        <w:jc w:val="both"/>
        <w:divId w:val="1074856128"/>
        <w:rPr>
          <w:rFonts w:eastAsia="Times New Roman"/>
        </w:rPr>
      </w:pPr>
      <w:r>
        <w:rPr>
          <w:rFonts w:eastAsia="Times New Roman"/>
          <w:color w:val="000000"/>
          <w:sz w:val="20"/>
          <w:szCs w:val="20"/>
        </w:rPr>
        <w:t>The Series B-2 Warrants were ex</w:t>
      </w:r>
      <w:r>
        <w:rPr>
          <w:rFonts w:eastAsia="Times New Roman"/>
          <w:color w:val="000000"/>
          <w:sz w:val="20"/>
          <w:szCs w:val="20"/>
        </w:rPr>
        <w:t>ercisable by the holders at any time prior to the twelve-month anniversary of the Closing Date, as adjusted pursuant to the terms of the Series B-2 Warrants. The Series B-2 Warrants provided the holders the right to purchase an aggregate of up to 1,121,076</w:t>
      </w:r>
      <w:r>
        <w:rPr>
          <w:rFonts w:eastAsia="Times New Roman"/>
          <w:color w:val="000000"/>
          <w:sz w:val="20"/>
          <w:szCs w:val="20"/>
        </w:rPr>
        <w:t xml:space="preserve"> shares of Common Stock at an exercise price equal to $8.92 and could have been exercised for cash only. The Series B-2 Warrants expired on August 3, 2020</w:t>
      </w:r>
      <w:r>
        <w:rPr>
          <w:rFonts w:eastAsia="Times New Roman"/>
          <w:color w:val="000000"/>
          <w:sz w:val="20"/>
          <w:szCs w:val="20"/>
        </w:rPr>
        <w:t>.</w:t>
      </w:r>
    </w:p>
    <w:p w:rsidR="00000000" w:rsidRDefault="007258AD">
      <w:pPr>
        <w:jc w:val="both"/>
        <w:divId w:val="1315796987"/>
        <w:rPr>
          <w:rFonts w:eastAsia="Times New Roman"/>
        </w:rPr>
      </w:pPr>
      <w:r>
        <w:rPr>
          <w:rFonts w:eastAsia="Times New Roman"/>
          <w:color w:val="000000"/>
          <w:sz w:val="20"/>
          <w:szCs w:val="20"/>
        </w:rPr>
        <w:t>The Series A Warrants are exercisable for a period of five years from the Closing Date and are curre</w:t>
      </w:r>
      <w:r>
        <w:rPr>
          <w:rFonts w:eastAsia="Times New Roman"/>
          <w:color w:val="000000"/>
          <w:sz w:val="20"/>
          <w:szCs w:val="20"/>
        </w:rPr>
        <w:t>ntly exercisable into 5,457,026 shares of Common Stock, which is equal to the Initial Shares plus the number of shares issued pursuant to the exercise of the Series C Warrants (described below). The exercise price for the Series A Warrants is $12.00. The S</w:t>
      </w:r>
      <w:r>
        <w:rPr>
          <w:rFonts w:eastAsia="Times New Roman"/>
          <w:color w:val="000000"/>
          <w:sz w:val="20"/>
          <w:szCs w:val="20"/>
        </w:rPr>
        <w:t>eries A Warrants may be exercised for cash or through a net settlement feature. The exercise price for the Series A Warrants is subject to anti-dilution adjustment in certain circumstances</w:t>
      </w:r>
      <w:r>
        <w:rPr>
          <w:rFonts w:eastAsia="Times New Roman"/>
          <w:color w:val="000000"/>
          <w:sz w:val="20"/>
          <w:szCs w:val="20"/>
        </w:rPr>
        <w:t>.</w:t>
      </w:r>
    </w:p>
    <w:p w:rsidR="00000000" w:rsidRDefault="007258AD">
      <w:pPr>
        <w:jc w:val="both"/>
        <w:divId w:val="172184066"/>
        <w:rPr>
          <w:rFonts w:eastAsia="Times New Roman"/>
        </w:rPr>
      </w:pPr>
      <w:r>
        <w:rPr>
          <w:rFonts w:eastAsia="Times New Roman"/>
          <w:color w:val="000000"/>
          <w:sz w:val="20"/>
          <w:szCs w:val="20"/>
        </w:rPr>
        <w:t>The Series C Warrants are partially prepaid warrants (with a nomin</w:t>
      </w:r>
      <w:r>
        <w:rPr>
          <w:rFonts w:eastAsia="Times New Roman"/>
          <w:color w:val="000000"/>
          <w:sz w:val="20"/>
          <w:szCs w:val="20"/>
        </w:rPr>
        <w:t>al remaining exercise price) that were not exercisable before September 21, 2019 and expire 90 days after the first anniversary of the Closing Date. CVI exercised the Series C Warrants on October 10, 2019. Because the VWAP of the Common Stock as of the dat</w:t>
      </w:r>
      <w:r>
        <w:rPr>
          <w:rFonts w:eastAsia="Times New Roman"/>
          <w:color w:val="000000"/>
          <w:sz w:val="20"/>
          <w:szCs w:val="20"/>
        </w:rPr>
        <w:t>e of exercise, discounted by 7.5%, was less than CVI's</w:t>
      </w:r>
      <w:r>
        <w:rPr>
          <w:rFonts w:eastAsia="Times New Roman"/>
          <w:color w:val="000000"/>
          <w:sz w:val="20"/>
          <w:szCs w:val="20"/>
        </w:rPr>
        <w:t xml:space="preserve"> </w:t>
      </w:r>
    </w:p>
    <w:p w:rsidR="00000000" w:rsidRDefault="007258AD">
      <w:pPr>
        <w:jc w:val="center"/>
        <w:divId w:val="927159447"/>
        <w:rPr>
          <w:rFonts w:eastAsia="Times New Roman"/>
        </w:rPr>
      </w:pPr>
      <w:r>
        <w:rPr>
          <w:rFonts w:eastAsia="Times New Roman"/>
          <w:color w:val="000000"/>
          <w:sz w:val="20"/>
          <w:szCs w:val="20"/>
        </w:rPr>
        <w:t>1</w:t>
      </w:r>
      <w:r>
        <w:rPr>
          <w:rFonts w:eastAsia="Times New Roman"/>
          <w:color w:val="000000"/>
          <w:sz w:val="20"/>
          <w:szCs w:val="20"/>
        </w:rPr>
        <w:t>5</w:t>
      </w:r>
    </w:p>
    <w:p w:rsidR="00000000" w:rsidRDefault="007258AD">
      <w:pPr>
        <w:rPr>
          <w:rFonts w:eastAsia="Times New Roman"/>
        </w:rPr>
      </w:pPr>
      <w:r>
        <w:rPr>
          <w:rFonts w:eastAsia="Times New Roman"/>
        </w:rPr>
        <w:pict>
          <v:rect id="_x0000_i1042" style="width:0;height:1.5pt" o:hralign="center" o:hrstd="t" o:hr="t" fillcolor="#a0a0a0" stroked="f"/>
        </w:pict>
      </w:r>
    </w:p>
    <w:p w:rsidR="00000000" w:rsidRDefault="007258AD">
      <w:pPr>
        <w:jc w:val="both"/>
        <w:divId w:val="176491592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764915921"/>
        <w:rPr>
          <w:rFonts w:eastAsia="Times New Roman"/>
        </w:rPr>
      </w:pPr>
    </w:p>
    <w:p w:rsidR="00000000" w:rsidRDefault="007258AD">
      <w:pPr>
        <w:jc w:val="both"/>
        <w:divId w:val="1042365359"/>
        <w:rPr>
          <w:rFonts w:eastAsia="Times New Roman"/>
        </w:rPr>
      </w:pPr>
      <w:r>
        <w:rPr>
          <w:rFonts w:eastAsia="Times New Roman"/>
          <w:color w:val="000000"/>
          <w:sz w:val="20"/>
          <w:szCs w:val="20"/>
        </w:rPr>
        <w:t>purchase price for the Initial Shares, the Company was required to issue to CVI a number of shares of Common Stock equal to (i) (x) CVI's purchase price for the Initial Shares divided by (y) 92.5% of the VWAP of the Common Stock leading up to September 21,</w:t>
      </w:r>
      <w:r>
        <w:rPr>
          <w:rFonts w:eastAsia="Times New Roman"/>
          <w:color w:val="000000"/>
          <w:sz w:val="20"/>
          <w:szCs w:val="20"/>
        </w:rPr>
        <w:t xml:space="preserve"> 2019, subject to a floor of 50.0% of the price per Initial Share, less (ii) the number of Initial Shares issued to CVI on the Closing Date. As a result of this exercise, the Company issued 2,728,513 shares of Common Stock to CVI on October 14, 2019. In ad</w:t>
      </w:r>
      <w:r>
        <w:rPr>
          <w:rFonts w:eastAsia="Times New Roman"/>
          <w:color w:val="000000"/>
          <w:sz w:val="20"/>
          <w:szCs w:val="20"/>
        </w:rPr>
        <w:t>dition, the number of shares issuable under the Company's Series A Warrants was increased by 2,728,513</w:t>
      </w:r>
      <w:r>
        <w:rPr>
          <w:rFonts w:eastAsia="Times New Roman"/>
          <w:color w:val="000000"/>
          <w:sz w:val="20"/>
          <w:szCs w:val="20"/>
        </w:rPr>
        <w:t>.</w:t>
      </w:r>
    </w:p>
    <w:p w:rsidR="00000000" w:rsidRDefault="007258AD">
      <w:pPr>
        <w:jc w:val="both"/>
        <w:divId w:val="1424642254"/>
        <w:rPr>
          <w:rFonts w:eastAsia="Times New Roman"/>
        </w:rPr>
      </w:pPr>
      <w:r>
        <w:rPr>
          <w:rFonts w:eastAsia="Times New Roman"/>
          <w:color w:val="000000"/>
          <w:sz w:val="20"/>
          <w:szCs w:val="20"/>
        </w:rPr>
        <w:t>CVI will not have the right to exercise any warrant that would result in CVI beneficially owning more than 4.99% of the outstanding Common Stock after g</w:t>
      </w:r>
      <w:r>
        <w:rPr>
          <w:rFonts w:eastAsia="Times New Roman"/>
          <w:color w:val="000000"/>
          <w:sz w:val="20"/>
          <w:szCs w:val="20"/>
        </w:rPr>
        <w:t>iving effect to such exercise. CVI has the right, in its discretion, to raise this threshold up to 9.99% with 60 days' notice to the Company</w:t>
      </w:r>
      <w:r>
        <w:rPr>
          <w:rFonts w:eastAsia="Times New Roman"/>
          <w:color w:val="000000"/>
          <w:sz w:val="20"/>
          <w:szCs w:val="20"/>
        </w:rPr>
        <w:t>.</w:t>
      </w:r>
    </w:p>
    <w:p w:rsidR="00000000" w:rsidRDefault="007258AD">
      <w:pPr>
        <w:jc w:val="both"/>
        <w:divId w:val="493643041"/>
        <w:rPr>
          <w:rFonts w:eastAsia="Times New Roman"/>
        </w:rPr>
      </w:pPr>
      <w:r>
        <w:rPr>
          <w:rFonts w:eastAsia="Times New Roman"/>
          <w:color w:val="000000"/>
          <w:sz w:val="20"/>
          <w:szCs w:val="20"/>
        </w:rPr>
        <w:t>Pursuant to the transactions described above, the Company agreed to a 105-day lock-up period related to any future</w:t>
      </w:r>
      <w:r>
        <w:rPr>
          <w:rFonts w:eastAsia="Times New Roman"/>
          <w:color w:val="000000"/>
          <w:sz w:val="20"/>
          <w:szCs w:val="20"/>
        </w:rPr>
        <w:t xml:space="preserve"> offering of equity or equity-linked securities and also agreed to provide CVI with registration rights relating to the Initial Shares and any shares issuable upon the exercise of the warrants. On June 26, 2019, the Company filed a prospectus supplement to</w:t>
      </w:r>
      <w:r>
        <w:rPr>
          <w:rFonts w:eastAsia="Times New Roman"/>
          <w:color w:val="000000"/>
          <w:sz w:val="20"/>
          <w:szCs w:val="20"/>
        </w:rPr>
        <w:t xml:space="preserve"> its effective registration statement on Form S-3 to permit the resale of such shares</w:t>
      </w:r>
      <w:r>
        <w:rPr>
          <w:rFonts w:eastAsia="Times New Roman"/>
          <w:color w:val="000000"/>
          <w:sz w:val="20"/>
          <w:szCs w:val="20"/>
        </w:rPr>
        <w:t>.</w:t>
      </w:r>
    </w:p>
    <w:p w:rsidR="00000000" w:rsidRDefault="007258AD">
      <w:pPr>
        <w:jc w:val="both"/>
        <w:divId w:val="1351295837"/>
        <w:rPr>
          <w:rFonts w:eastAsia="Times New Roman"/>
        </w:rPr>
      </w:pPr>
      <w:r>
        <w:rPr>
          <w:rFonts w:eastAsia="Times New Roman"/>
          <w:color w:val="000000"/>
          <w:sz w:val="20"/>
          <w:szCs w:val="20"/>
        </w:rPr>
        <w:t>Management determined each warrant to be a freestanding financial instrument that qualifies for liability treatment as a result of net cash settlement features associate</w:t>
      </w:r>
      <w:r>
        <w:rPr>
          <w:rFonts w:eastAsia="Times New Roman"/>
          <w:color w:val="000000"/>
          <w:sz w:val="20"/>
          <w:szCs w:val="20"/>
        </w:rPr>
        <w:t>d with an exchange-related limitation or upon a change in control. Each warrant is initially measured at fair value and classified as a current liability on the Condensed Consolidated Balance Sheet, with subsequent changes in fair value recorded in earning</w:t>
      </w:r>
      <w:r>
        <w:rPr>
          <w:rFonts w:eastAsia="Times New Roman"/>
          <w:color w:val="000000"/>
          <w:sz w:val="20"/>
          <w:szCs w:val="20"/>
        </w:rPr>
        <w:t>s. To determine the fair value of each warrant, management utilized a Monte Carlo simulation analysis within an option pricing model</w:t>
      </w:r>
      <w:r>
        <w:rPr>
          <w:rFonts w:eastAsia="Times New Roman"/>
          <w:color w:val="000000"/>
          <w:sz w:val="20"/>
          <w:szCs w:val="20"/>
        </w:rPr>
        <w:t>.</w:t>
      </w:r>
    </w:p>
    <w:p w:rsidR="00000000" w:rsidRDefault="007258AD">
      <w:pPr>
        <w:jc w:val="both"/>
        <w:divId w:val="1160270677"/>
        <w:rPr>
          <w:rFonts w:eastAsia="Times New Roman"/>
        </w:rPr>
      </w:pPr>
      <w:r>
        <w:rPr>
          <w:rFonts w:eastAsia="Times New Roman"/>
          <w:color w:val="000000"/>
          <w:sz w:val="20"/>
          <w:szCs w:val="20"/>
        </w:rPr>
        <w:t>The estimated fair value of the warrants as of June 30, 2020 was $3.8 million. Refer to</w:t>
      </w:r>
      <w:r>
        <w:rPr>
          <w:rFonts w:eastAsia="Times New Roman"/>
          <w:color w:val="000000"/>
          <w:sz w:val="20"/>
          <w:szCs w:val="20"/>
        </w:rPr>
        <w:t xml:space="preserve"> </w:t>
      </w:r>
      <w:hyperlink w:anchor="if3309f2850e6489fbcf3fb9276fba379_76" w:history="1">
        <w:r>
          <w:rPr>
            <w:rStyle w:val="a3"/>
            <w:rFonts w:eastAsia="Times New Roman"/>
            <w:sz w:val="20"/>
            <w:szCs w:val="20"/>
          </w:rPr>
          <w:t>Footnote 6</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Fair Value Measurement</w:t>
      </w:r>
      <w:r>
        <w:rPr>
          <w:rFonts w:eastAsia="Times New Roman"/>
          <w:i/>
          <w:iCs/>
          <w:color w:val="000000"/>
          <w:sz w:val="20"/>
          <w:szCs w:val="20"/>
        </w:rPr>
        <w:t>s</w:t>
      </w:r>
      <w:r>
        <w:rPr>
          <w:rFonts w:eastAsia="Times New Roman"/>
          <w:color w:val="000000"/>
          <w:sz w:val="20"/>
          <w:szCs w:val="20"/>
        </w:rPr>
        <w:t>, for further information on the Level 3 inputs utilized for the determination of the fair value of the warrants</w:t>
      </w:r>
      <w:r>
        <w:rPr>
          <w:rFonts w:eastAsia="Times New Roman"/>
          <w:color w:val="000000"/>
          <w:sz w:val="20"/>
          <w:szCs w:val="20"/>
        </w:rPr>
        <w:t>.</w:t>
      </w:r>
    </w:p>
    <w:p w:rsidR="00000000" w:rsidRDefault="007258AD">
      <w:pPr>
        <w:ind w:hanging="360"/>
        <w:jc w:val="both"/>
        <w:divId w:val="341401159"/>
        <w:rPr>
          <w:rFonts w:eastAsia="Times New Roman"/>
        </w:rPr>
      </w:pPr>
      <w:r>
        <w:rPr>
          <w:rFonts w:eastAsia="Times New Roman"/>
          <w:b/>
          <w:bCs/>
          <w:color w:val="000000"/>
          <w:sz w:val="20"/>
          <w:szCs w:val="20"/>
        </w:rPr>
        <w:t>6</w:t>
      </w:r>
      <w:r>
        <w:rPr>
          <w:rFonts w:eastAsia="Times New Roman"/>
          <w:b/>
          <w:bCs/>
          <w:color w:val="000000"/>
          <w:sz w:val="20"/>
          <w:szCs w:val="20"/>
        </w:rPr>
        <w:t>.</w:t>
      </w:r>
      <w:r>
        <w:rPr>
          <w:rFonts w:eastAsia="Times New Roman"/>
          <w:b/>
          <w:bCs/>
          <w:color w:val="000000"/>
          <w:sz w:val="20"/>
          <w:szCs w:val="20"/>
        </w:rPr>
        <w:t>Fair Value Measurement</w:t>
      </w:r>
      <w:r>
        <w:rPr>
          <w:rFonts w:eastAsia="Times New Roman"/>
          <w:b/>
          <w:bCs/>
          <w:color w:val="000000"/>
          <w:sz w:val="20"/>
          <w:szCs w:val="20"/>
        </w:rPr>
        <w:t>s</w:t>
      </w:r>
    </w:p>
    <w:p w:rsidR="00000000" w:rsidRDefault="007258AD">
      <w:pPr>
        <w:jc w:val="both"/>
        <w:divId w:val="1541015545"/>
        <w:rPr>
          <w:rFonts w:eastAsia="Times New Roman"/>
        </w:rPr>
      </w:pPr>
      <w:r>
        <w:rPr>
          <w:rFonts w:eastAsia="Times New Roman"/>
          <w:color w:val="000000"/>
          <w:sz w:val="20"/>
          <w:szCs w:val="20"/>
        </w:rPr>
        <w:t>The Company's financial instruments measured at fair val</w:t>
      </w:r>
      <w:r>
        <w:rPr>
          <w:rFonts w:eastAsia="Times New Roman"/>
          <w:color w:val="000000"/>
          <w:sz w:val="20"/>
          <w:szCs w:val="20"/>
        </w:rPr>
        <w:t>ue in the accompanying Condensed Consolidated Balance Sheets on a recurring basis consist of the following</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258"/>
        <w:gridCol w:w="38"/>
        <w:gridCol w:w="125"/>
        <w:gridCol w:w="555"/>
        <w:gridCol w:w="80"/>
        <w:gridCol w:w="36"/>
        <w:gridCol w:w="36"/>
        <w:gridCol w:w="36"/>
        <w:gridCol w:w="125"/>
        <w:gridCol w:w="240"/>
        <w:gridCol w:w="80"/>
        <w:gridCol w:w="36"/>
        <w:gridCol w:w="36"/>
        <w:gridCol w:w="36"/>
        <w:gridCol w:w="125"/>
        <w:gridCol w:w="555"/>
        <w:gridCol w:w="80"/>
        <w:gridCol w:w="36"/>
        <w:gridCol w:w="36"/>
        <w:gridCol w:w="36"/>
        <w:gridCol w:w="125"/>
        <w:gridCol w:w="555"/>
        <w:gridCol w:w="80"/>
        <w:gridCol w:w="36"/>
        <w:gridCol w:w="36"/>
        <w:gridCol w:w="36"/>
        <w:gridCol w:w="125"/>
        <w:gridCol w:w="555"/>
        <w:gridCol w:w="80"/>
        <w:gridCol w:w="36"/>
        <w:gridCol w:w="36"/>
        <w:gridCol w:w="36"/>
        <w:gridCol w:w="125"/>
        <w:gridCol w:w="465"/>
        <w:gridCol w:w="80"/>
        <w:gridCol w:w="36"/>
        <w:gridCol w:w="36"/>
        <w:gridCol w:w="36"/>
        <w:gridCol w:w="125"/>
        <w:gridCol w:w="555"/>
        <w:gridCol w:w="80"/>
        <w:gridCol w:w="36"/>
        <w:gridCol w:w="36"/>
        <w:gridCol w:w="36"/>
        <w:gridCol w:w="125"/>
        <w:gridCol w:w="555"/>
        <w:gridCol w:w="80"/>
        <w:gridCol w:w="36"/>
        <w:gridCol w:w="36"/>
        <w:gridCol w:w="36"/>
        <w:gridCol w:w="36"/>
        <w:gridCol w:w="36"/>
        <w:gridCol w:w="36"/>
        <w:gridCol w:w="36"/>
        <w:gridCol w:w="36"/>
        <w:gridCol w:w="36"/>
        <w:gridCol w:w="36"/>
        <w:gridCol w:w="36"/>
        <w:gridCol w:w="36"/>
        <w:gridCol w:w="36"/>
        <w:gridCol w:w="36"/>
        <w:gridCol w:w="36"/>
      </w:tblGrid>
      <w:tr w:rsidR="00000000">
        <w:trPr>
          <w:gridAfter w:val="15"/>
          <w:divId w:val="1125781603"/>
          <w:jc w:val="center"/>
        </w:trPr>
        <w:tc>
          <w:tcPr>
            <w:tcW w:w="50" w:type="pct"/>
            <w:vAlign w:val="center"/>
            <w:hideMark/>
          </w:tcPr>
          <w:p w:rsidR="00000000" w:rsidRDefault="007258AD">
            <w:pPr>
              <w:jc w:val="both"/>
              <w:rPr>
                <w:rFonts w:eastAsia="Times New Roman"/>
              </w:rPr>
            </w:pPr>
          </w:p>
        </w:tc>
        <w:tc>
          <w:tcPr>
            <w:tcW w:w="1372"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1257816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258AD">
            <w:pPr>
              <w:jc w:val="center"/>
              <w:rPr>
                <w:rFonts w:eastAsia="Times New Roman"/>
              </w:rPr>
            </w:pPr>
          </w:p>
        </w:tc>
      </w:tr>
      <w:tr w:rsidR="00000000">
        <w:trPr>
          <w:divId w:val="1125781603"/>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vAlign w:val="center"/>
            <w:hideMark/>
          </w:tcPr>
          <w:p w:rsidR="00000000" w:rsidRDefault="007258AD">
            <w:pPr>
              <w:jc w:val="center"/>
              <w:rPr>
                <w:rFonts w:eastAsia="Times New Roman"/>
              </w:rPr>
            </w:pPr>
          </w:p>
        </w:tc>
      </w:tr>
      <w:tr w:rsidR="00000000">
        <w:trPr>
          <w:divId w:val="1125781603"/>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Assets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1257816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953975070"/>
              <w:rPr>
                <w:rFonts w:eastAsia="Times New Roman"/>
              </w:rPr>
            </w:pPr>
            <w:r>
              <w:rPr>
                <w:rFonts w:eastAsia="Times New Roman"/>
                <w:color w:val="000000"/>
                <w:sz w:val="18"/>
                <w:szCs w:val="18"/>
              </w:rPr>
              <w:t>Money market funds</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24,327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24,327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470591588"/>
              <w:rPr>
                <w:rFonts w:eastAsia="Times New Roman"/>
              </w:rPr>
            </w:pPr>
            <w:r>
              <w:rPr>
                <w:rFonts w:eastAsia="Times New Roman"/>
                <w:color w:val="000000"/>
                <w:sz w:val="18"/>
                <w:szCs w:val="18"/>
              </w:rPr>
              <w:t>Certificates of deposit</w:t>
            </w:r>
            <w:r>
              <w:rPr>
                <w:rFonts w:eastAsia="Times New Roman"/>
                <w:color w:val="000000"/>
                <w:sz w:val="18"/>
                <w:szCs w:val="18"/>
              </w:rPr>
              <w:t xml:space="preserve"> </w:t>
            </w:r>
            <w:r>
              <w:rPr>
                <w:rFonts w:eastAsia="Times New Roman"/>
                <w:i/>
                <w:iCs/>
                <w:color w:val="000000"/>
                <w:sz w:val="12"/>
                <w:szCs w:val="12"/>
                <w:vertAlign w:val="superscript"/>
              </w:rPr>
              <w:t>(2)</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1257816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Total assets</w:t>
            </w:r>
            <w:r>
              <w:rPr>
                <w:rFonts w:eastAsia="Times New Roman"/>
                <w:b/>
                <w:bCs/>
                <w:color w:val="000000"/>
                <w:sz w:val="18"/>
                <w:szCs w:val="18"/>
              </w:rPr>
              <w:t xml:space="preserve">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20,422</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20,422</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24,327</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1,009</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25,336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Liabilities</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9306935"/>
              <w:rPr>
                <w:rFonts w:eastAsia="Times New Roman"/>
              </w:rPr>
            </w:pPr>
            <w:r>
              <w:rPr>
                <w:rFonts w:eastAsia="Times New Roman"/>
                <w:color w:val="000000"/>
                <w:sz w:val="18"/>
                <w:szCs w:val="18"/>
              </w:rPr>
              <w:t>Financing derivatives: no hedging designation</w:t>
            </w:r>
            <w:r>
              <w:rPr>
                <w:rFonts w:eastAsia="Times New Roman"/>
                <w:color w:val="000000"/>
                <w:sz w:val="18"/>
                <w:szCs w:val="18"/>
              </w:rPr>
              <w:t xml:space="preserve"> </w:t>
            </w:r>
            <w:r>
              <w:rPr>
                <w:rFonts w:eastAsia="Times New Roman"/>
                <w:i/>
                <w:iCs/>
                <w:color w:val="000000"/>
                <w:sz w:val="12"/>
                <w:szCs w:val="12"/>
                <w:vertAlign w:val="superscript"/>
              </w:rPr>
              <w:t>(3)</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1257816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Interest rate reset</w:t>
            </w:r>
            <w:r>
              <w:rPr>
                <w:rFonts w:eastAsia="Times New Roman"/>
                <w:color w:val="000000"/>
                <w:sz w:val="18"/>
                <w:szCs w:val="18"/>
              </w:rPr>
              <w:t xml:space="preserve"> </w:t>
            </w: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15,100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15,100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18,800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18,800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Make-whole change of contro</w:t>
            </w:r>
            <w:r>
              <w:rPr>
                <w:rFonts w:eastAsia="Times New Roman"/>
                <w:color w:val="000000"/>
                <w:sz w:val="18"/>
                <w:szCs w:val="18"/>
              </w:rPr>
              <w:t>l</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Qualifying change of contro</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771732540"/>
              <w:rPr>
                <w:rFonts w:eastAsia="Times New Roman"/>
              </w:rPr>
            </w:pPr>
            <w:r>
              <w:rPr>
                <w:rFonts w:eastAsia="Times New Roman"/>
                <w:color w:val="000000"/>
                <w:sz w:val="18"/>
                <w:szCs w:val="18"/>
              </w:rPr>
              <w:t>Warrants issued:</w:t>
            </w:r>
            <w:r>
              <w:rPr>
                <w:rFonts w:eastAsia="Times New Roman"/>
                <w:color w:val="000000"/>
                <w:sz w:val="18"/>
                <w:szCs w:val="18"/>
              </w:rPr>
              <w:t xml:space="preserve"> </w:t>
            </w:r>
            <w:r>
              <w:rPr>
                <w:rFonts w:eastAsia="Times New Roman"/>
                <w:i/>
                <w:iCs/>
                <w:color w:val="000000"/>
                <w:sz w:val="12"/>
                <w:szCs w:val="12"/>
                <w:vertAlign w:val="superscript"/>
              </w:rPr>
              <w:t>(4)</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 xml:space="preserve">Series </w:t>
            </w:r>
            <w:r>
              <w:rPr>
                <w:rFonts w:eastAsia="Times New Roman"/>
                <w:color w:val="000000"/>
                <w:sz w:val="18"/>
                <w:szCs w:val="18"/>
              </w:rPr>
              <w:t>A</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257816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829789011"/>
              <w:rPr>
                <w:rFonts w:eastAsia="Times New Roman"/>
              </w:rPr>
            </w:pPr>
            <w:r>
              <w:rPr>
                <w:rFonts w:eastAsia="Times New Roman"/>
                <w:color w:val="000000"/>
                <w:sz w:val="18"/>
                <w:szCs w:val="18"/>
              </w:rPr>
              <w:t>Series B-2</w:t>
            </w:r>
            <w:r>
              <w:rPr>
                <w:rFonts w:eastAsia="Times New Roman"/>
                <w:color w:val="000000"/>
                <w:sz w:val="18"/>
                <w:szCs w:val="18"/>
              </w:rPr>
              <w:t xml:space="preserve"> </w:t>
            </w:r>
            <w:r>
              <w:rPr>
                <w:rFonts w:eastAsia="Times New Roman"/>
                <w:i/>
                <w:iCs/>
                <w:color w:val="000000"/>
                <w:sz w:val="12"/>
                <w:szCs w:val="12"/>
                <w:vertAlign w:val="superscript"/>
              </w:rPr>
              <w:t>(5)</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125781603"/>
          <w:jc w:val="center"/>
        </w:trPr>
        <w:tc>
          <w:tcPr>
            <w:tcW w:w="0" w:type="auto"/>
            <w:gridSpan w:val="3"/>
            <w:shd w:val="clear" w:color="auto" w:fill="FFFFFF"/>
            <w:tcMar>
              <w:top w:w="30" w:type="dxa"/>
              <w:left w:w="135"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Total liabilitie</w:t>
            </w:r>
            <w:r>
              <w:rPr>
                <w:rFonts w:eastAsia="Times New Roman"/>
                <w:b/>
                <w:bCs/>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20,732</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20,732</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29,312</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29,312</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852843218"/>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xml:space="preserve"> Level 1 cash equivalents are invested in money market funds that are intended to maintain a stable net asset value of $1.00 per share by investing in liquid, high quali</w:t>
      </w:r>
      <w:r>
        <w:rPr>
          <w:rFonts w:eastAsia="Times New Roman"/>
          <w:i/>
          <w:iCs/>
          <w:color w:val="000000"/>
          <w:sz w:val="16"/>
          <w:szCs w:val="16"/>
        </w:rPr>
        <w:t>ty U.S. dollar-denominated money market instruments with maturities less than three months</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(2</w:t>
      </w:r>
      <w:r>
        <w:rPr>
          <w:rFonts w:eastAsia="Times New Roman"/>
          <w:i/>
          <w:iCs/>
          <w:color w:val="000000"/>
          <w:sz w:val="10"/>
          <w:szCs w:val="10"/>
          <w:vertAlign w:val="superscript"/>
        </w:rPr>
        <w:t>)</w:t>
      </w:r>
      <w:r>
        <w:rPr>
          <w:rFonts w:eastAsia="Times New Roman"/>
          <w:i/>
          <w:iCs/>
          <w:color w:val="000000"/>
          <w:sz w:val="16"/>
          <w:szCs w:val="16"/>
        </w:rPr>
        <w:t xml:space="preserve"> The Company's certificates of deposit are recorded at their face value which approximates their fair value</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(3</w:t>
      </w:r>
      <w:r>
        <w:rPr>
          <w:rFonts w:eastAsia="Times New Roman"/>
          <w:i/>
          <w:iCs/>
          <w:color w:val="000000"/>
          <w:sz w:val="10"/>
          <w:szCs w:val="10"/>
          <w:vertAlign w:val="superscript"/>
        </w:rPr>
        <w:t>)</w:t>
      </w:r>
      <w:r>
        <w:rPr>
          <w:rFonts w:eastAsia="Times New Roman"/>
          <w:i/>
          <w:iCs/>
          <w:color w:val="000000"/>
          <w:sz w:val="16"/>
          <w:szCs w:val="16"/>
        </w:rPr>
        <w:t xml:space="preserve"> The fair values of the financing derivatives are</w:t>
      </w:r>
      <w:r>
        <w:rPr>
          <w:rFonts w:eastAsia="Times New Roman"/>
          <w:i/>
          <w:iCs/>
          <w:color w:val="000000"/>
          <w:sz w:val="16"/>
          <w:szCs w:val="16"/>
        </w:rPr>
        <w:t> derived from techniques which utilize inputs, certain of which are significant and unobservable, that result in classification as Level 3 fair value measurements</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(4</w:t>
      </w:r>
      <w:r>
        <w:rPr>
          <w:rFonts w:eastAsia="Times New Roman"/>
          <w:i/>
          <w:iCs/>
          <w:color w:val="000000"/>
          <w:sz w:val="10"/>
          <w:szCs w:val="10"/>
          <w:vertAlign w:val="superscript"/>
        </w:rPr>
        <w:t>)</w:t>
      </w:r>
      <w:r>
        <w:rPr>
          <w:rFonts w:eastAsia="Times New Roman"/>
          <w:i/>
          <w:iCs/>
          <w:color w:val="000000"/>
          <w:sz w:val="16"/>
          <w:szCs w:val="16"/>
        </w:rPr>
        <w:t xml:space="preserve"> The fair values of the warrants are derived from techniques which utilize inputs, certai</w:t>
      </w:r>
      <w:r>
        <w:rPr>
          <w:rFonts w:eastAsia="Times New Roman"/>
          <w:i/>
          <w:iCs/>
          <w:color w:val="000000"/>
          <w:sz w:val="16"/>
          <w:szCs w:val="16"/>
        </w:rPr>
        <w:t>n of which are significant and unobservable, that result in classification as Level 3 fair value measurements. The Series B-1 Warrants expired without exercise on January 29, 2020</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(5)</w:t>
      </w:r>
      <w:r>
        <w:rPr>
          <w:rFonts w:eastAsia="Times New Roman"/>
          <w:i/>
          <w:iCs/>
          <w:color w:val="000000"/>
          <w:sz w:val="10"/>
          <w:szCs w:val="10"/>
          <w:vertAlign w:val="superscript"/>
        </w:rPr>
        <w:t xml:space="preserve"> </w:t>
      </w:r>
      <w:r>
        <w:rPr>
          <w:rFonts w:eastAsia="Times New Roman"/>
          <w:i/>
          <w:iCs/>
          <w:color w:val="000000"/>
          <w:sz w:val="16"/>
          <w:szCs w:val="16"/>
        </w:rPr>
        <w:t>The fair value of the Series B-2 Warrants was estimated as negligible a</w:t>
      </w:r>
      <w:r>
        <w:rPr>
          <w:rFonts w:eastAsia="Times New Roman"/>
          <w:i/>
          <w:iCs/>
          <w:color w:val="000000"/>
          <w:sz w:val="16"/>
          <w:szCs w:val="16"/>
        </w:rPr>
        <w:t>s of June 30, 2020. The Series B-2 Warrants expired without exercise on August 3, 2020</w:t>
      </w:r>
      <w:r>
        <w:rPr>
          <w:rFonts w:eastAsia="Times New Roman"/>
          <w:i/>
          <w:iCs/>
          <w:color w:val="000000"/>
          <w:sz w:val="16"/>
          <w:szCs w:val="16"/>
        </w:rPr>
        <w:t>.</w:t>
      </w:r>
    </w:p>
    <w:p w:rsidR="00000000" w:rsidRDefault="007258AD">
      <w:pPr>
        <w:jc w:val="both"/>
        <w:divId w:val="1594239208"/>
        <w:rPr>
          <w:rFonts w:eastAsia="Times New Roman"/>
        </w:rPr>
      </w:pPr>
      <w:r>
        <w:rPr>
          <w:rFonts w:eastAsia="Times New Roman"/>
          <w:color w:val="000000"/>
          <w:sz w:val="20"/>
          <w:szCs w:val="20"/>
        </w:rPr>
        <w:t>There were no changes to the Company's valuation methodologies during the three and six months ended June 30, 2020 or 2019, respectively</w:t>
      </w:r>
      <w:r>
        <w:rPr>
          <w:rFonts w:eastAsia="Times New Roman"/>
          <w:color w:val="000000"/>
          <w:sz w:val="20"/>
          <w:szCs w:val="20"/>
        </w:rPr>
        <w:t>.</w:t>
      </w:r>
    </w:p>
    <w:p w:rsidR="00000000" w:rsidRDefault="007258AD">
      <w:pPr>
        <w:jc w:val="both"/>
        <w:divId w:val="1842045206"/>
        <w:rPr>
          <w:rFonts w:eastAsia="Times New Roman"/>
        </w:rPr>
      </w:pPr>
      <w:r>
        <w:rPr>
          <w:rFonts w:eastAsia="Times New Roman"/>
          <w:color w:val="000000"/>
          <w:sz w:val="20"/>
          <w:szCs w:val="20"/>
        </w:rPr>
        <w:t>The following tables present t</w:t>
      </w:r>
      <w:r>
        <w:rPr>
          <w:rFonts w:eastAsia="Times New Roman"/>
          <w:color w:val="000000"/>
          <w:sz w:val="20"/>
          <w:szCs w:val="20"/>
        </w:rPr>
        <w:t>he changes in the Company's recurring Level 3 fair valued instruments for the six months ended June 30, 2020 and 2019, respectively</w:t>
      </w:r>
      <w:r>
        <w:rPr>
          <w:rFonts w:eastAsia="Times New Roman"/>
          <w:color w:val="000000"/>
          <w:sz w:val="20"/>
          <w:szCs w:val="20"/>
        </w:rPr>
        <w:t>:</w:t>
      </w:r>
    </w:p>
    <w:p w:rsidR="00000000" w:rsidRDefault="007258AD">
      <w:pPr>
        <w:jc w:val="center"/>
        <w:divId w:val="768306869"/>
        <w:rPr>
          <w:rFonts w:eastAsia="Times New Roman"/>
        </w:rPr>
      </w:pPr>
      <w:r>
        <w:rPr>
          <w:rFonts w:eastAsia="Times New Roman"/>
          <w:color w:val="000000"/>
          <w:sz w:val="20"/>
          <w:szCs w:val="20"/>
        </w:rPr>
        <w:t>1</w:t>
      </w:r>
      <w:r>
        <w:rPr>
          <w:rFonts w:eastAsia="Times New Roman"/>
          <w:color w:val="000000"/>
          <w:sz w:val="20"/>
          <w:szCs w:val="20"/>
        </w:rPr>
        <w:t>6</w:t>
      </w:r>
    </w:p>
    <w:p w:rsidR="00000000" w:rsidRDefault="007258AD">
      <w:pPr>
        <w:rPr>
          <w:rFonts w:eastAsia="Times New Roman"/>
        </w:rPr>
      </w:pPr>
      <w:r>
        <w:rPr>
          <w:rFonts w:eastAsia="Times New Roman"/>
        </w:rPr>
        <w:pict>
          <v:rect id="_x0000_i1043" style="width:0;height:1.5pt" o:hralign="center" o:hrstd="t" o:hr="t" fillcolor="#a0a0a0" stroked="f"/>
        </w:pict>
      </w:r>
    </w:p>
    <w:p w:rsidR="00000000" w:rsidRDefault="007258AD">
      <w:pPr>
        <w:jc w:val="both"/>
        <w:divId w:val="1292245508"/>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29224550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5816"/>
        <w:gridCol w:w="54"/>
        <w:gridCol w:w="36"/>
        <w:gridCol w:w="36"/>
        <w:gridCol w:w="36"/>
        <w:gridCol w:w="125"/>
        <w:gridCol w:w="879"/>
        <w:gridCol w:w="80"/>
        <w:gridCol w:w="36"/>
        <w:gridCol w:w="36"/>
        <w:gridCol w:w="36"/>
        <w:gridCol w:w="126"/>
        <w:gridCol w:w="878"/>
        <w:gridCol w:w="80"/>
      </w:tblGrid>
      <w:tr w:rsidR="00000000">
        <w:trPr>
          <w:divId w:val="1763337170"/>
          <w:jc w:val="center"/>
        </w:trPr>
        <w:tc>
          <w:tcPr>
            <w:tcW w:w="50" w:type="pct"/>
            <w:vAlign w:val="center"/>
            <w:hideMark/>
          </w:tcPr>
          <w:p w:rsidR="00000000" w:rsidRDefault="007258AD">
            <w:pPr>
              <w:jc w:val="both"/>
              <w:rPr>
                <w:rFonts w:eastAsia="Times New Roman"/>
              </w:rPr>
            </w:pPr>
          </w:p>
        </w:tc>
        <w:tc>
          <w:tcPr>
            <w:tcW w:w="351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24"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763337170"/>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Financing Derivative 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Warrants Liabilit</w:t>
            </w:r>
            <w:r>
              <w:rPr>
                <w:rFonts w:eastAsia="Times New Roman"/>
                <w:b/>
                <w:bCs/>
                <w:color w:val="000000"/>
                <w:sz w:val="16"/>
                <w:szCs w:val="16"/>
              </w:rPr>
              <w:t>y</w:t>
            </w:r>
          </w:p>
        </w:tc>
      </w:tr>
      <w:tr w:rsidR="00000000">
        <w:trPr>
          <w:divId w:val="176333717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December 31, 201</w:t>
            </w:r>
            <w:r>
              <w:rPr>
                <w:rFonts w:eastAsia="Times New Roman"/>
                <w:b/>
                <w:bCs/>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21,587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7,725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76333717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763337170"/>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467670277"/>
              <w:rPr>
                <w:rFonts w:eastAsia="Times New Roman"/>
              </w:rPr>
            </w:pPr>
            <w:r>
              <w:rPr>
                <w:rFonts w:eastAsia="Times New Roman"/>
                <w:color w:val="000000"/>
                <w:sz w:val="18"/>
                <w:szCs w:val="18"/>
              </w:rPr>
              <w:t>Total gains included in other income (expense), ne</w:t>
            </w:r>
            <w:r>
              <w:rPr>
                <w:rFonts w:eastAsia="Times New Roman"/>
                <w:color w:val="000000"/>
                <w:sz w:val="18"/>
                <w:szCs w:val="18"/>
              </w:rPr>
              <w:t>t</w:t>
            </w:r>
            <w:r>
              <w:rPr>
                <w:rFonts w:eastAsia="Times New Roman"/>
                <w:i/>
                <w:iCs/>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76333717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76333717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June 30, 202</w:t>
            </w:r>
            <w:r>
              <w:rPr>
                <w:rFonts w:eastAsia="Times New Roman"/>
                <w:b/>
                <w:bCs/>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both"/>
        <w:divId w:val="440926963"/>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xml:space="preserve"> </w:t>
      </w:r>
      <w:r>
        <w:rPr>
          <w:rFonts w:eastAsia="Times New Roman"/>
          <w:i/>
          <w:iCs/>
          <w:color w:val="000000"/>
          <w:sz w:val="16"/>
          <w:szCs w:val="16"/>
        </w:rPr>
        <w:t>Represents $3.7 million gain due to change in fair value of interest rate reset derivative liability, $1.0 million gain due to change in fair value of qualifying change of control redemption derivative liability, $3.7 million gain due to change in fair val</w:t>
      </w:r>
      <w:r>
        <w:rPr>
          <w:rFonts w:eastAsia="Times New Roman"/>
          <w:i/>
          <w:iCs/>
          <w:color w:val="000000"/>
          <w:sz w:val="16"/>
          <w:szCs w:val="16"/>
        </w:rPr>
        <w:t>ue of the Series A Warrant and $0.2 million gain due to change in fair value of the Series B-2 Warrant. All gains were recorded in other income (expense), net in the Condensed Consolidated Statements of Operations and Comprehensive Loss</w:t>
      </w:r>
      <w:r>
        <w:rPr>
          <w:rFonts w:eastAsia="Times New Roman"/>
          <w:i/>
          <w:iCs/>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5824"/>
        <w:gridCol w:w="48"/>
        <w:gridCol w:w="36"/>
        <w:gridCol w:w="36"/>
        <w:gridCol w:w="36"/>
        <w:gridCol w:w="125"/>
        <w:gridCol w:w="894"/>
        <w:gridCol w:w="80"/>
        <w:gridCol w:w="36"/>
        <w:gridCol w:w="36"/>
        <w:gridCol w:w="36"/>
        <w:gridCol w:w="125"/>
        <w:gridCol w:w="867"/>
        <w:gridCol w:w="80"/>
      </w:tblGrid>
      <w:tr w:rsidR="00000000">
        <w:trPr>
          <w:divId w:val="145248364"/>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45248364"/>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Financing Derivative 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Warrants Liabilit</w:t>
            </w:r>
            <w:r>
              <w:rPr>
                <w:rFonts w:eastAsia="Times New Roman"/>
                <w:b/>
                <w:bCs/>
                <w:color w:val="000000"/>
                <w:sz w:val="16"/>
                <w:szCs w:val="16"/>
              </w:rPr>
              <w:t>y</w:t>
            </w:r>
          </w:p>
        </w:tc>
      </w:tr>
      <w:tr w:rsidR="00000000">
        <w:trPr>
          <w:divId w:val="145248364"/>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December 31, 201</w:t>
            </w:r>
            <w:r>
              <w:rPr>
                <w:rFonts w:eastAsia="Times New Roman"/>
                <w:b/>
                <w:bCs/>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26,100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45248364"/>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Issuance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45248364"/>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051465074"/>
              <w:rPr>
                <w:rFonts w:eastAsia="Times New Roman"/>
              </w:rPr>
            </w:pPr>
            <w:r>
              <w:rPr>
                <w:rFonts w:eastAsia="Times New Roman"/>
                <w:color w:val="000000"/>
                <w:sz w:val="18"/>
                <w:szCs w:val="18"/>
              </w:rPr>
              <w:t>Total gains included in other income (expense), ne</w:t>
            </w:r>
            <w:r>
              <w:rPr>
                <w:rFonts w:eastAsia="Times New Roman"/>
                <w:color w:val="000000"/>
                <w:sz w:val="18"/>
                <w:szCs w:val="18"/>
              </w:rPr>
              <w:t>t</w:t>
            </w:r>
            <w:r>
              <w:rPr>
                <w:rFonts w:eastAsia="Times New Roman"/>
                <w:i/>
                <w:iCs/>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45248364"/>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45248364"/>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Balance as of June 30, 201</w:t>
            </w:r>
            <w:r>
              <w:rPr>
                <w:rFonts w:eastAsia="Times New Roman"/>
                <w:b/>
                <w:bCs/>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both"/>
        <w:divId w:val="1450125141"/>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xml:space="preserve"> </w:t>
      </w:r>
      <w:r>
        <w:rPr>
          <w:rFonts w:eastAsia="Times New Roman"/>
          <w:i/>
          <w:iCs/>
          <w:color w:val="000000"/>
          <w:sz w:val="16"/>
          <w:szCs w:val="16"/>
        </w:rPr>
        <w:t>Represents $0.5 million gain due to change in fair value of interest rate reset derivative liability, and $0.6 million gain due to change in fair value of the make-whole change of control redemption derivative liability. All gains were recorded in other in</w:t>
      </w:r>
      <w:r>
        <w:rPr>
          <w:rFonts w:eastAsia="Times New Roman"/>
          <w:i/>
          <w:iCs/>
          <w:color w:val="000000"/>
          <w:sz w:val="16"/>
          <w:szCs w:val="16"/>
        </w:rPr>
        <w:t>come (expense), net in the Condensed Consolidated Statements of Operations and Comprehensive Loss</w:t>
      </w:r>
      <w:r>
        <w:rPr>
          <w:rFonts w:eastAsia="Times New Roman"/>
          <w:i/>
          <w:iCs/>
          <w:color w:val="000000"/>
          <w:sz w:val="16"/>
          <w:szCs w:val="16"/>
        </w:rPr>
        <w:t>.</w:t>
      </w:r>
    </w:p>
    <w:p w:rsidR="00000000" w:rsidRDefault="007258AD">
      <w:pPr>
        <w:jc w:val="both"/>
        <w:divId w:val="1853301016"/>
        <w:rPr>
          <w:rFonts w:eastAsia="Times New Roman"/>
        </w:rPr>
      </w:pPr>
      <w:r>
        <w:rPr>
          <w:rFonts w:eastAsia="Times New Roman"/>
          <w:color w:val="000000"/>
          <w:sz w:val="20"/>
          <w:szCs w:val="20"/>
        </w:rPr>
        <w:t>The following table displays valuation techniques and the significant inputs, certain of which are unobservable, for the Company's Level 3 liabilities, which</w:t>
      </w:r>
      <w:r>
        <w:rPr>
          <w:rFonts w:eastAsia="Times New Roman"/>
          <w:color w:val="000000"/>
          <w:sz w:val="20"/>
          <w:szCs w:val="20"/>
        </w:rPr>
        <w:t xml:space="preserve"> are measured at fair value on a recurring basis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906"/>
        <w:gridCol w:w="37"/>
        <w:gridCol w:w="36"/>
        <w:gridCol w:w="36"/>
        <w:gridCol w:w="36"/>
        <w:gridCol w:w="66"/>
        <w:gridCol w:w="354"/>
        <w:gridCol w:w="66"/>
        <w:gridCol w:w="66"/>
        <w:gridCol w:w="243"/>
        <w:gridCol w:w="66"/>
        <w:gridCol w:w="37"/>
        <w:gridCol w:w="37"/>
        <w:gridCol w:w="37"/>
        <w:gridCol w:w="37"/>
        <w:gridCol w:w="117"/>
        <w:gridCol w:w="37"/>
        <w:gridCol w:w="134"/>
        <w:gridCol w:w="492"/>
        <w:gridCol w:w="134"/>
        <w:gridCol w:w="37"/>
        <w:gridCol w:w="46"/>
        <w:gridCol w:w="37"/>
        <w:gridCol w:w="36"/>
        <w:gridCol w:w="711"/>
        <w:gridCol w:w="36"/>
        <w:gridCol w:w="36"/>
        <w:gridCol w:w="36"/>
        <w:gridCol w:w="36"/>
        <w:gridCol w:w="46"/>
        <w:gridCol w:w="702"/>
        <w:gridCol w:w="46"/>
        <w:gridCol w:w="36"/>
        <w:gridCol w:w="36"/>
        <w:gridCol w:w="36"/>
        <w:gridCol w:w="245"/>
        <w:gridCol w:w="244"/>
        <w:gridCol w:w="244"/>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58810247"/>
          <w:jc w:val="center"/>
        </w:trPr>
        <w:tc>
          <w:tcPr>
            <w:tcW w:w="50" w:type="pct"/>
            <w:vAlign w:val="center"/>
            <w:hideMark/>
          </w:tcPr>
          <w:p w:rsidR="00000000" w:rsidRDefault="007258AD">
            <w:pPr>
              <w:jc w:val="both"/>
              <w:rPr>
                <w:rFonts w:eastAsia="Times New Roman"/>
              </w:rPr>
            </w:pPr>
          </w:p>
        </w:tc>
        <w:tc>
          <w:tcPr>
            <w:tcW w:w="2163"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6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8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26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84"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85881024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Fair Value Measurement</w:t>
            </w:r>
            <w:r>
              <w:rPr>
                <w:rFonts w:eastAsia="Times New Roman"/>
                <w:b/>
                <w:bCs/>
                <w:color w:val="000000"/>
                <w:sz w:val="16"/>
                <w:szCs w:val="16"/>
              </w:rPr>
              <w:t>s</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85881024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Significant Valuation Techniqu</w:t>
            </w:r>
            <w:r>
              <w:rPr>
                <w:rFonts w:eastAsia="Times New Roman"/>
                <w:b/>
                <w:bCs/>
                <w:color w:val="000000"/>
                <w:sz w:val="16"/>
                <w:szCs w:val="16"/>
              </w:rPr>
              <w:t>e</w:t>
            </w:r>
          </w:p>
        </w:tc>
        <w:tc>
          <w:tcPr>
            <w:tcW w:w="0" w:type="auto"/>
            <w:gridSpan w:val="3"/>
            <w:vAlign w:val="center"/>
            <w:hideMark/>
          </w:tcPr>
          <w:p w:rsidR="00000000" w:rsidRDefault="007258AD">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Significant Valuation Input</w:t>
            </w:r>
            <w:r>
              <w:rPr>
                <w:rFonts w:eastAsia="Times New Roman"/>
                <w:b/>
                <w:bCs/>
                <w:color w:val="000000"/>
                <w:sz w:val="16"/>
                <w:szCs w:val="16"/>
              </w:rPr>
              <w:t>s</w:t>
            </w:r>
          </w:p>
        </w:tc>
        <w:tc>
          <w:tcPr>
            <w:tcW w:w="0" w:type="auto"/>
            <w:gridSpan w:val="3"/>
            <w:vAlign w:val="center"/>
            <w:hideMark/>
          </w:tcPr>
          <w:p w:rsidR="00000000" w:rsidRDefault="007258AD">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Interest rate reset derivative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vAlign w:val="center"/>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Discount rat</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29.0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25.0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Stock pric</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$3.1</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$4.9</w:t>
            </w:r>
            <w:r>
              <w:rPr>
                <w:rFonts w:eastAsia="Times New Roman"/>
                <w:color w:val="000000"/>
                <w:sz w:val="18"/>
                <w:szCs w:val="18"/>
              </w:rPr>
              <w:t>4</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Volatilit</w:t>
            </w:r>
            <w:r>
              <w:rPr>
                <w:rFonts w:eastAsia="Times New Roman"/>
                <w:color w:val="000000"/>
                <w:sz w:val="18"/>
                <w:szCs w:val="18"/>
              </w:rPr>
              <w:t>y</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104.5</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74.1</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Ter</w:t>
            </w:r>
            <w:r>
              <w:rPr>
                <w:rFonts w:eastAsia="Times New Roman"/>
                <w:color w:val="000000"/>
                <w:sz w:val="18"/>
                <w:szCs w:val="18"/>
              </w:rPr>
              <w:t>m</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1.54 year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2.04 year</w:t>
            </w:r>
            <w:r>
              <w:rPr>
                <w:rFonts w:eastAsia="Times New Roman"/>
                <w:color w:val="000000"/>
                <w:sz w:val="18"/>
                <w:szCs w:val="18"/>
              </w:rPr>
              <w:t>s</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Risk-free rat</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1.6</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Make-whole change of control redemption derivative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Option pricing mode</w:t>
            </w:r>
            <w:r>
              <w:rPr>
                <w:rFonts w:eastAsia="Times New Roman"/>
                <w:color w:val="000000"/>
                <w:sz w:val="18"/>
                <w:szCs w:val="18"/>
              </w:rPr>
              <w:t>l</w:t>
            </w:r>
          </w:p>
        </w:tc>
        <w:tc>
          <w:tcPr>
            <w:tcW w:w="0" w:type="auto"/>
            <w:gridSpan w:val="3"/>
            <w:vAlign w:val="center"/>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Change of control probabilit</w:t>
            </w:r>
            <w:r>
              <w:rPr>
                <w:rFonts w:eastAsia="Times New Roman"/>
                <w:color w:val="000000"/>
                <w:sz w:val="18"/>
                <w:szCs w:val="18"/>
              </w:rPr>
              <w:t>y</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 - 10.0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 - 10.0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Ter</w:t>
            </w:r>
            <w:r>
              <w:rPr>
                <w:rFonts w:eastAsia="Times New Roman"/>
                <w:color w:val="000000"/>
                <w:sz w:val="18"/>
                <w:szCs w:val="18"/>
              </w:rPr>
              <w:t>m</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1.54 year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2.04 year</w:t>
            </w:r>
            <w:r>
              <w:rPr>
                <w:rFonts w:eastAsia="Times New Roman"/>
                <w:color w:val="000000"/>
                <w:sz w:val="18"/>
                <w:szCs w:val="18"/>
              </w:rPr>
              <w:t>s</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Risk-free rat</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1.6</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Qualifying change of control redemption derivative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vAlign w:val="center"/>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Change of control probabilit</w:t>
            </w:r>
            <w:r>
              <w:rPr>
                <w:rFonts w:eastAsia="Times New Roman"/>
                <w:color w:val="000000"/>
                <w:sz w:val="18"/>
                <w:szCs w:val="18"/>
              </w:rPr>
              <w:t>y</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Ter</w:t>
            </w:r>
            <w:r>
              <w:rPr>
                <w:rFonts w:eastAsia="Times New Roman"/>
                <w:color w:val="000000"/>
                <w:sz w:val="18"/>
                <w:szCs w:val="18"/>
              </w:rPr>
              <w:t>m</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0.10 year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0.60 year</w:t>
            </w:r>
            <w:r>
              <w:rPr>
                <w:rFonts w:eastAsia="Times New Roman"/>
                <w:color w:val="000000"/>
                <w:sz w:val="18"/>
                <w:szCs w:val="18"/>
              </w:rPr>
              <w:t>s</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Discount rat</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29.0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25.0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30" w:type="dxa"/>
              <w:left w:w="20" w:type="dxa"/>
              <w:bottom w:w="30" w:type="dxa"/>
              <w:right w:w="20" w:type="dxa"/>
            </w:tcMar>
            <w:hideMark/>
          </w:tcPr>
          <w:p w:rsidR="00000000" w:rsidRDefault="007258AD">
            <w:pPr>
              <w:divId w:val="950939239"/>
              <w:rPr>
                <w:rFonts w:eastAsia="Times New Roman"/>
              </w:rPr>
            </w:pPr>
            <w:r>
              <w:rPr>
                <w:rFonts w:eastAsia="Times New Roman"/>
                <w:color w:val="000000"/>
                <w:sz w:val="18"/>
                <w:szCs w:val="18"/>
              </w:rPr>
              <w:t>Warrants liability</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6"/>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Option pricing mode</w:t>
            </w:r>
            <w:r>
              <w:rPr>
                <w:rFonts w:eastAsia="Times New Roman"/>
                <w:color w:val="000000"/>
                <w:sz w:val="18"/>
                <w:szCs w:val="18"/>
              </w:rPr>
              <w:t>l</w:t>
            </w:r>
          </w:p>
        </w:tc>
        <w:tc>
          <w:tcPr>
            <w:tcW w:w="0" w:type="auto"/>
            <w:gridSpan w:val="3"/>
            <w:vAlign w:val="center"/>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Stock pric</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$3.1</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$4.9</w:t>
            </w:r>
            <w:r>
              <w:rPr>
                <w:rFonts w:eastAsia="Times New Roman"/>
                <w:color w:val="000000"/>
                <w:sz w:val="18"/>
                <w:szCs w:val="18"/>
              </w:rPr>
              <w:t>4</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Volatilit</w:t>
            </w:r>
            <w:r>
              <w:rPr>
                <w:rFonts w:eastAsia="Times New Roman"/>
                <w:color w:val="000000"/>
                <w:sz w:val="18"/>
                <w:szCs w:val="18"/>
              </w:rPr>
              <w:t>y</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75.0</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65.0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Ter</w:t>
            </w:r>
            <w:r>
              <w:rPr>
                <w:rFonts w:eastAsia="Times New Roman"/>
                <w:color w:val="000000"/>
                <w:sz w:val="18"/>
                <w:szCs w:val="18"/>
              </w:rPr>
              <w:t>m</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3.99 year</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0.59 - 4.49 year</w:t>
            </w:r>
            <w:r>
              <w:rPr>
                <w:rFonts w:eastAsia="Times New Roman"/>
                <w:color w:val="000000"/>
                <w:sz w:val="18"/>
                <w:szCs w:val="18"/>
              </w:rPr>
              <w:t>s</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Change of control probabilit</w:t>
            </w:r>
            <w:r>
              <w:rPr>
                <w:rFonts w:eastAsia="Times New Roman"/>
                <w:color w:val="000000"/>
                <w:sz w:val="18"/>
                <w:szCs w:val="18"/>
              </w:rPr>
              <w:t>y</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 - 10.0</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5.0% - 10.0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CCEE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Risk-free rat</w:t>
            </w:r>
            <w:r>
              <w:rPr>
                <w:rFonts w:eastAsia="Times New Roman"/>
                <w:color w:val="000000"/>
                <w:sz w:val="18"/>
                <w:szCs w:val="18"/>
              </w:rPr>
              <w:t>e</w:t>
            </w:r>
          </w:p>
        </w:tc>
        <w:tc>
          <w:tcPr>
            <w:tcW w:w="0" w:type="auto"/>
            <w:gridSpan w:val="3"/>
            <w:vAlign w:val="center"/>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1.6% - 1.7</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858810247"/>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6"/>
            <w:shd w:val="clear" w:color="auto" w:fill="FFFFFF"/>
            <w:tcMar>
              <w:top w:w="30" w:type="dxa"/>
              <w:left w:w="20" w:type="dxa"/>
              <w:bottom w:w="30" w:type="dxa"/>
              <w:right w:w="20" w:type="dxa"/>
            </w:tcMar>
            <w:hideMark/>
          </w:tcPr>
          <w:p w:rsidR="00000000" w:rsidRDefault="007258AD">
            <w:pPr>
              <w:rPr>
                <w:rFonts w:eastAsia="Times New Roman"/>
              </w:rPr>
            </w:pPr>
            <w:r>
              <w:rPr>
                <w:rFonts w:eastAsia="Times New Roman"/>
                <w:color w:val="000000"/>
                <w:sz w:val="18"/>
                <w:szCs w:val="18"/>
              </w:rPr>
              <w:t>Cost of deb</w:t>
            </w:r>
            <w:r>
              <w:rPr>
                <w:rFonts w:eastAsia="Times New Roman"/>
                <w:color w:val="000000"/>
                <w:sz w:val="18"/>
                <w:szCs w:val="18"/>
              </w:rPr>
              <w:t>t</w:t>
            </w:r>
          </w:p>
        </w:tc>
        <w:tc>
          <w:tcPr>
            <w:tcW w:w="0" w:type="auto"/>
            <w:gridSpan w:val="3"/>
            <w:vAlign w:val="center"/>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14.6% - 15.6</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258AD">
            <w:pPr>
              <w:jc w:val="center"/>
              <w:rPr>
                <w:rFonts w:eastAsia="Times New Roman"/>
              </w:rPr>
            </w:pPr>
            <w:r>
              <w:rPr>
                <w:rFonts w:eastAsia="Times New Roman"/>
                <w:color w:val="000000"/>
                <w:sz w:val="18"/>
                <w:szCs w:val="18"/>
              </w:rPr>
              <w:t>14.7% - 16.0</w:t>
            </w: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668140534"/>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Warrants liability includes only Series A as of June 30, 2020. Warrants liability includes Series A and Series B-2 as of December 31, 2019</w:t>
      </w:r>
      <w:r>
        <w:rPr>
          <w:rFonts w:eastAsia="Times New Roman"/>
          <w:i/>
          <w:iCs/>
          <w:color w:val="000000"/>
          <w:sz w:val="16"/>
          <w:szCs w:val="16"/>
        </w:rPr>
        <w:t>.</w:t>
      </w:r>
    </w:p>
    <w:p w:rsidR="00000000" w:rsidRDefault="007258AD">
      <w:pPr>
        <w:jc w:val="both"/>
        <w:divId w:val="2101246551"/>
        <w:rPr>
          <w:rFonts w:eastAsia="Times New Roman"/>
        </w:rPr>
      </w:pPr>
      <w:r>
        <w:rPr>
          <w:rFonts w:eastAsia="Times New Roman"/>
          <w:color w:val="000000"/>
          <w:sz w:val="20"/>
          <w:szCs w:val="20"/>
        </w:rPr>
        <w:t>The primary sensitivity in the interest rate reset derivative liability is driven by the Common Stock price at the measurement date, the observable volatility of the Common Stock, and the discount rate used to determine the present value of the instrument.</w:t>
      </w:r>
      <w:r>
        <w:rPr>
          <w:rFonts w:eastAsia="Times New Roman"/>
          <w:color w:val="000000"/>
          <w:sz w:val="20"/>
          <w:szCs w:val="20"/>
        </w:rPr>
        <w:t xml:space="preserve"> The primary sensitivity for the make-whole and qualifying change of control redemption derivative liabilities is driven by the probability of the change of control.</w:t>
      </w:r>
      <w:r>
        <w:rPr>
          <w:rFonts w:eastAsia="Times New Roman"/>
          <w:color w:val="000000"/>
          <w:sz w:val="20"/>
          <w:szCs w:val="20"/>
        </w:rPr>
        <w:t xml:space="preserve"> </w:t>
      </w:r>
    </w:p>
    <w:p w:rsidR="00000000" w:rsidRDefault="007258AD">
      <w:pPr>
        <w:jc w:val="both"/>
        <w:divId w:val="454566231"/>
        <w:rPr>
          <w:rFonts w:eastAsia="Times New Roman"/>
        </w:rPr>
      </w:pPr>
      <w:r>
        <w:rPr>
          <w:rFonts w:eastAsia="Times New Roman"/>
          <w:color w:val="000000"/>
          <w:sz w:val="20"/>
          <w:szCs w:val="20"/>
        </w:rPr>
        <w:t>The primary sensitivity in the valuation of each warrant liability is driven by the Commo</w:t>
      </w:r>
      <w:r>
        <w:rPr>
          <w:rFonts w:eastAsia="Times New Roman"/>
          <w:color w:val="000000"/>
          <w:sz w:val="20"/>
          <w:szCs w:val="20"/>
        </w:rPr>
        <w:t>n Stock price at the measurement date and the observable volatility of the Common Stock</w:t>
      </w:r>
      <w:r>
        <w:rPr>
          <w:rFonts w:eastAsia="Times New Roman"/>
          <w:color w:val="000000"/>
          <w:sz w:val="20"/>
          <w:szCs w:val="20"/>
        </w:rPr>
        <w:t>.</w:t>
      </w:r>
    </w:p>
    <w:p w:rsidR="00000000" w:rsidRDefault="007258AD">
      <w:pPr>
        <w:jc w:val="center"/>
        <w:divId w:val="663364238"/>
        <w:rPr>
          <w:rFonts w:eastAsia="Times New Roman"/>
        </w:rPr>
      </w:pPr>
      <w:r>
        <w:rPr>
          <w:rFonts w:eastAsia="Times New Roman"/>
          <w:color w:val="000000"/>
          <w:sz w:val="20"/>
          <w:szCs w:val="20"/>
        </w:rPr>
        <w:t>1</w:t>
      </w:r>
      <w:r>
        <w:rPr>
          <w:rFonts w:eastAsia="Times New Roman"/>
          <w:color w:val="000000"/>
          <w:sz w:val="20"/>
          <w:szCs w:val="20"/>
        </w:rPr>
        <w:t>7</w:t>
      </w:r>
    </w:p>
    <w:p w:rsidR="00000000" w:rsidRDefault="007258AD">
      <w:pPr>
        <w:rPr>
          <w:rFonts w:eastAsia="Times New Roman"/>
        </w:rPr>
      </w:pPr>
      <w:r>
        <w:rPr>
          <w:rFonts w:eastAsia="Times New Roman"/>
        </w:rPr>
        <w:pict>
          <v:rect id="_x0000_i1044" style="width:0;height:1.5pt" o:hralign="center" o:hrstd="t" o:hr="t" fillcolor="#a0a0a0" stroked="f"/>
        </w:pict>
      </w:r>
    </w:p>
    <w:p w:rsidR="00000000" w:rsidRDefault="007258AD">
      <w:pPr>
        <w:jc w:val="both"/>
        <w:divId w:val="184847238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848472386"/>
        <w:rPr>
          <w:rFonts w:eastAsia="Times New Roman"/>
        </w:rPr>
      </w:pPr>
    </w:p>
    <w:p w:rsidR="00000000" w:rsidRDefault="007258AD">
      <w:pPr>
        <w:ind w:hanging="360"/>
        <w:jc w:val="both"/>
        <w:divId w:val="1255675243"/>
        <w:rPr>
          <w:rFonts w:eastAsia="Times New Roman"/>
        </w:rPr>
      </w:pPr>
      <w:r>
        <w:rPr>
          <w:rFonts w:eastAsia="Times New Roman"/>
          <w:b/>
          <w:bCs/>
          <w:color w:val="000000"/>
          <w:sz w:val="20"/>
          <w:szCs w:val="20"/>
        </w:rPr>
        <w:t>7</w:t>
      </w:r>
      <w:r>
        <w:rPr>
          <w:rFonts w:eastAsia="Times New Roman"/>
          <w:b/>
          <w:bCs/>
          <w:color w:val="000000"/>
          <w:sz w:val="20"/>
          <w:szCs w:val="20"/>
        </w:rPr>
        <w:t>.</w:t>
      </w:r>
      <w:r>
        <w:rPr>
          <w:rFonts w:eastAsia="Times New Roman"/>
          <w:b/>
          <w:bCs/>
          <w:color w:val="000000"/>
          <w:sz w:val="20"/>
          <w:szCs w:val="20"/>
        </w:rPr>
        <w:t>Accrued Expense</w:t>
      </w:r>
      <w:r>
        <w:rPr>
          <w:rFonts w:eastAsia="Times New Roman"/>
          <w:b/>
          <w:bCs/>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7"/>
        <w:gridCol w:w="5824"/>
        <w:gridCol w:w="48"/>
        <w:gridCol w:w="36"/>
        <w:gridCol w:w="36"/>
        <w:gridCol w:w="36"/>
        <w:gridCol w:w="125"/>
        <w:gridCol w:w="894"/>
        <w:gridCol w:w="80"/>
        <w:gridCol w:w="36"/>
        <w:gridCol w:w="36"/>
        <w:gridCol w:w="36"/>
        <w:gridCol w:w="125"/>
        <w:gridCol w:w="867"/>
        <w:gridCol w:w="80"/>
      </w:tblGrid>
      <w:tr w:rsidR="00000000">
        <w:trPr>
          <w:divId w:val="1904678419"/>
        </w:trPr>
        <w:tc>
          <w:tcPr>
            <w:tcW w:w="50" w:type="pct"/>
            <w:vAlign w:val="center"/>
            <w:hideMark/>
          </w:tcPr>
          <w:p w:rsidR="00000000" w:rsidRDefault="007258AD">
            <w:pPr>
              <w:ind w:hanging="360"/>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904678419"/>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r>
      <w:tr w:rsidR="00000000">
        <w:trPr>
          <w:divId w:val="1904678419"/>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 (In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1904678419"/>
        </w:trPr>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04678419"/>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data cost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23,015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19,593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Payroll and payroll-relate</w:t>
            </w:r>
            <w:r>
              <w:rPr>
                <w:rFonts w:eastAsia="Times New Roman"/>
                <w:color w:val="000000"/>
                <w:sz w:val="18"/>
                <w:szCs w:val="18"/>
              </w:rPr>
              <w:t>d</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10,218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15,412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04678419"/>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interest on senior secured convertible note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3,557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4,118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Restructuring accrua</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04678419"/>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04678419"/>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7,940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9,272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1904678419"/>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04678419"/>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Total accrued expense</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51,071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55,507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ind w:hanging="360"/>
        <w:jc w:val="both"/>
        <w:divId w:val="1759250519"/>
        <w:rPr>
          <w:rFonts w:eastAsia="Times New Roman"/>
        </w:rPr>
      </w:pPr>
      <w:r>
        <w:rPr>
          <w:rFonts w:eastAsia="Times New Roman"/>
          <w:b/>
          <w:bCs/>
          <w:color w:val="000000"/>
          <w:sz w:val="20"/>
          <w:szCs w:val="20"/>
        </w:rPr>
        <w:t>8</w:t>
      </w:r>
      <w:r>
        <w:rPr>
          <w:rFonts w:eastAsia="Times New Roman"/>
          <w:b/>
          <w:bCs/>
          <w:color w:val="000000"/>
          <w:sz w:val="20"/>
          <w:szCs w:val="20"/>
        </w:rPr>
        <w:t>.</w:t>
      </w:r>
      <w:r>
        <w:rPr>
          <w:rFonts w:eastAsia="Times New Roman"/>
          <w:b/>
          <w:bCs/>
          <w:color w:val="000000"/>
          <w:sz w:val="20"/>
          <w:szCs w:val="20"/>
        </w:rPr>
        <w:t>Rela</w:t>
      </w:r>
      <w:r>
        <w:rPr>
          <w:rFonts w:eastAsia="Times New Roman"/>
          <w:b/>
          <w:bCs/>
          <w:color w:val="000000"/>
          <w:sz w:val="20"/>
          <w:szCs w:val="20"/>
        </w:rPr>
        <w:t>ted Party Transaction</w:t>
      </w:r>
      <w:r>
        <w:rPr>
          <w:rFonts w:eastAsia="Times New Roman"/>
          <w:b/>
          <w:bCs/>
          <w:color w:val="000000"/>
          <w:sz w:val="20"/>
          <w:szCs w:val="20"/>
        </w:rPr>
        <w:t>s</w:t>
      </w:r>
    </w:p>
    <w:p w:rsidR="00000000" w:rsidRDefault="007258AD">
      <w:pPr>
        <w:jc w:val="both"/>
        <w:divId w:val="12146370"/>
        <w:rPr>
          <w:rFonts w:eastAsia="Times New Roman"/>
        </w:rPr>
      </w:pPr>
      <w:r>
        <w:rPr>
          <w:rFonts w:eastAsia="Times New Roman"/>
          <w:b/>
          <w:bCs/>
          <w:i/>
          <w:iCs/>
          <w:color w:val="000000"/>
          <w:sz w:val="20"/>
          <w:szCs w:val="20"/>
        </w:rPr>
        <w:t>Transactions with WPP pl</w:t>
      </w:r>
      <w:r>
        <w:rPr>
          <w:rFonts w:eastAsia="Times New Roman"/>
          <w:b/>
          <w:bCs/>
          <w:i/>
          <w:iCs/>
          <w:color w:val="000000"/>
          <w:sz w:val="20"/>
          <w:szCs w:val="20"/>
        </w:rPr>
        <w:t>c</w:t>
      </w:r>
    </w:p>
    <w:p w:rsidR="00000000" w:rsidRDefault="007258AD">
      <w:pPr>
        <w:jc w:val="both"/>
        <w:divId w:val="1910841874"/>
        <w:rPr>
          <w:rFonts w:eastAsia="Times New Roman"/>
        </w:rPr>
      </w:pPr>
      <w:r>
        <w:rPr>
          <w:rFonts w:eastAsia="Times New Roman"/>
          <w:color w:val="000000"/>
          <w:sz w:val="20"/>
          <w:szCs w:val="20"/>
        </w:rPr>
        <w:t xml:space="preserve">As of June 30, 2020 (based on public filings), WPP plc and its affiliates ("WPP") owned 11,319,363 </w:t>
      </w:r>
      <w:r>
        <w:rPr>
          <w:rFonts w:eastAsia="Times New Roman"/>
          <w:color w:val="000000"/>
          <w:sz w:val="20"/>
          <w:szCs w:val="20"/>
        </w:rPr>
        <w:t>shares of the Company's outstanding Common Stock, representing 16.0% ownership in the Company. The Company provides WPP, in the normal course of business, services amongst its different product lines and receives various services from WPP supporting the Co</w:t>
      </w:r>
      <w:r>
        <w:rPr>
          <w:rFonts w:eastAsia="Times New Roman"/>
          <w:color w:val="000000"/>
          <w:sz w:val="20"/>
          <w:szCs w:val="20"/>
        </w:rPr>
        <w:t>mpany's data collection efforts.</w:t>
      </w:r>
      <w:r>
        <w:rPr>
          <w:rFonts w:eastAsia="Times New Roman"/>
          <w:color w:val="000000"/>
          <w:sz w:val="20"/>
          <w:szCs w:val="20"/>
        </w:rPr>
        <w:t xml:space="preserve"> </w:t>
      </w:r>
    </w:p>
    <w:p w:rsidR="00000000" w:rsidRDefault="007258AD">
      <w:pPr>
        <w:jc w:val="both"/>
        <w:divId w:val="630981558"/>
        <w:rPr>
          <w:rFonts w:eastAsia="Times New Roman"/>
        </w:rPr>
      </w:pPr>
      <w:r>
        <w:rPr>
          <w:rFonts w:eastAsia="Times New Roman"/>
          <w:color w:val="000000"/>
          <w:sz w:val="20"/>
          <w:szCs w:val="20"/>
        </w:rPr>
        <w:t>The Company has a cancelable five-year agreement with Lightspeed, a WPP subsidiary, to conduct a proof of concept and follow-on program to demonstrate the capability of designing and deploying a program to collect browsing</w:t>
      </w:r>
      <w:r>
        <w:rPr>
          <w:rFonts w:eastAsia="Times New Roman"/>
          <w:color w:val="000000"/>
          <w:sz w:val="20"/>
          <w:szCs w:val="20"/>
        </w:rPr>
        <w:t xml:space="preserve"> and demographic data for individual participating households. The agreement, which relates to the Company's Total Home Panel product, provides that the Company makes payments to Lightspeed of approximately $5.0 million per year through December 2020.</w:t>
      </w:r>
      <w:r>
        <w:rPr>
          <w:rFonts w:eastAsia="Times New Roman"/>
          <w:color w:val="000000"/>
          <w:sz w:val="20"/>
          <w:szCs w:val="20"/>
        </w:rPr>
        <w:t xml:space="preserve"> </w:t>
      </w:r>
    </w:p>
    <w:p w:rsidR="00000000" w:rsidRDefault="007258AD">
      <w:pPr>
        <w:jc w:val="both"/>
        <w:divId w:val="1474365684"/>
        <w:rPr>
          <w:rFonts w:eastAsia="Times New Roman"/>
        </w:rPr>
      </w:pPr>
      <w:r>
        <w:rPr>
          <w:rFonts w:eastAsia="Times New Roman"/>
          <w:color w:val="000000"/>
          <w:sz w:val="20"/>
          <w:szCs w:val="20"/>
        </w:rPr>
        <w:t>The</w:t>
      </w:r>
      <w:r>
        <w:rPr>
          <w:rFonts w:eastAsia="Times New Roman"/>
          <w:color w:val="000000"/>
          <w:sz w:val="20"/>
          <w:szCs w:val="20"/>
        </w:rPr>
        <w:t xml:space="preserve"> Company's results from transactions with WPP and its affiliates, as reflected in the Condensed Consolidated Statements of Operations and Comprehensive Loss, are detailed below</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1"/>
        <w:gridCol w:w="37"/>
        <w:gridCol w:w="36"/>
        <w:gridCol w:w="36"/>
        <w:gridCol w:w="36"/>
        <w:gridCol w:w="125"/>
        <w:gridCol w:w="793"/>
        <w:gridCol w:w="80"/>
        <w:gridCol w:w="36"/>
        <w:gridCol w:w="36"/>
        <w:gridCol w:w="36"/>
        <w:gridCol w:w="125"/>
        <w:gridCol w:w="817"/>
        <w:gridCol w:w="80"/>
        <w:gridCol w:w="36"/>
        <w:gridCol w:w="36"/>
        <w:gridCol w:w="36"/>
        <w:gridCol w:w="125"/>
        <w:gridCol w:w="818"/>
        <w:gridCol w:w="80"/>
        <w:gridCol w:w="36"/>
        <w:gridCol w:w="36"/>
        <w:gridCol w:w="36"/>
        <w:gridCol w:w="125"/>
        <w:gridCol w:w="818"/>
        <w:gridCol w:w="80"/>
        <w:gridCol w:w="36"/>
        <w:gridCol w:w="36"/>
        <w:gridCol w:w="36"/>
        <w:gridCol w:w="36"/>
        <w:gridCol w:w="36"/>
        <w:gridCol w:w="36"/>
        <w:gridCol w:w="36"/>
        <w:gridCol w:w="36"/>
        <w:gridCol w:w="36"/>
        <w:gridCol w:w="36"/>
        <w:gridCol w:w="36"/>
        <w:gridCol w:w="36"/>
      </w:tblGrid>
      <w:tr w:rsidR="00000000">
        <w:trPr>
          <w:gridAfter w:val="12"/>
          <w:divId w:val="281155902"/>
          <w:jc w:val="center"/>
        </w:trPr>
        <w:tc>
          <w:tcPr>
            <w:tcW w:w="50" w:type="pct"/>
            <w:vAlign w:val="center"/>
            <w:hideMark/>
          </w:tcPr>
          <w:p w:rsidR="00000000" w:rsidRDefault="007258AD">
            <w:pPr>
              <w:jc w:val="both"/>
              <w:rPr>
                <w:rFonts w:eastAsia="Times New Roman"/>
              </w:rPr>
            </w:pPr>
          </w:p>
        </w:tc>
        <w:tc>
          <w:tcPr>
            <w:tcW w:w="21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81155902"/>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281155902"/>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Revenues</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3,749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5,679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81155902"/>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General and administrativ</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741826625"/>
        <w:rPr>
          <w:rFonts w:eastAsia="Times New Roman"/>
        </w:rPr>
      </w:pPr>
      <w:r>
        <w:rPr>
          <w:rFonts w:eastAsia="Times New Roman"/>
          <w:color w:val="000000"/>
          <w:sz w:val="20"/>
          <w:szCs w:val="20"/>
        </w:rPr>
        <w:t>The Company has the following balances related to transactions with WPP and its affiliates, as reflected in the Condensed Consolidated Balance Sheets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5823"/>
        <w:gridCol w:w="48"/>
        <w:gridCol w:w="36"/>
        <w:gridCol w:w="36"/>
        <w:gridCol w:w="36"/>
        <w:gridCol w:w="125"/>
        <w:gridCol w:w="894"/>
        <w:gridCol w:w="80"/>
        <w:gridCol w:w="36"/>
        <w:gridCol w:w="36"/>
        <w:gridCol w:w="36"/>
        <w:gridCol w:w="126"/>
        <w:gridCol w:w="867"/>
        <w:gridCol w:w="80"/>
      </w:tblGrid>
      <w:tr w:rsidR="00000000">
        <w:trPr>
          <w:divId w:val="596257837"/>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596257837"/>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r>
      <w:tr w:rsidR="00000000">
        <w:trPr>
          <w:divId w:val="596257837"/>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59625783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59625783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59625783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Prepaid expenses and other current asset</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596257837"/>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59625783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Liabilitie</w:t>
            </w:r>
            <w:r>
              <w:rPr>
                <w:rFonts w:eastAsia="Times New Roman"/>
                <w:b/>
                <w:bCs/>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59625783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Accounts payabl</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596257837"/>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expense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596257837"/>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Contract liabilit</w:t>
            </w:r>
            <w:r>
              <w:rPr>
                <w:rFonts w:eastAsia="Times New Roman"/>
                <w:color w:val="000000"/>
                <w:sz w:val="18"/>
                <w:szCs w:val="18"/>
              </w:rPr>
              <w:t>y</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596257837"/>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59625783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59625783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59625783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596257837"/>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bl>
    <w:p w:rsidR="00000000" w:rsidRDefault="007258AD">
      <w:pPr>
        <w:jc w:val="both"/>
        <w:divId w:val="1206144196"/>
        <w:rPr>
          <w:rFonts w:eastAsia="Times New Roman"/>
        </w:rPr>
      </w:pPr>
      <w:r>
        <w:rPr>
          <w:rFonts w:eastAsia="Times New Roman"/>
          <w:b/>
          <w:bCs/>
          <w:i/>
          <w:iCs/>
          <w:color w:val="000000"/>
          <w:sz w:val="20"/>
          <w:szCs w:val="20"/>
        </w:rPr>
        <w:t>Transactions with Starboard</w:t>
      </w:r>
      <w:r>
        <w:rPr>
          <w:rFonts w:eastAsia="Times New Roman"/>
          <w:b/>
          <w:bCs/>
          <w:i/>
          <w:iCs/>
          <w:color w:val="000000"/>
          <w:sz w:val="20"/>
          <w:szCs w:val="20"/>
        </w:rPr>
        <w:t xml:space="preserve"> </w:t>
      </w:r>
    </w:p>
    <w:p w:rsidR="00000000" w:rsidRDefault="007258AD">
      <w:pPr>
        <w:jc w:val="both"/>
        <w:divId w:val="717821725"/>
        <w:rPr>
          <w:rFonts w:eastAsia="Times New Roman"/>
        </w:rPr>
      </w:pPr>
      <w:r>
        <w:rPr>
          <w:rFonts w:eastAsia="Times New Roman"/>
          <w:color w:val="000000"/>
          <w:sz w:val="20"/>
          <w:szCs w:val="20"/>
        </w:rPr>
        <w:t>On January </w:t>
      </w:r>
      <w:r>
        <w:rPr>
          <w:rFonts w:eastAsia="Times New Roman"/>
          <w:color w:val="000000"/>
          <w:sz w:val="20"/>
          <w:szCs w:val="20"/>
        </w:rPr>
        <w:t>16, 2018, the Company entered into certain agreements with Starboard, then a beneficial owner of more than 5.0% of the Company's outstanding Common Stock. Refer to</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 for f</w:t>
      </w:r>
      <w:r>
        <w:rPr>
          <w:rFonts w:eastAsia="Times New Roman"/>
          <w:color w:val="000000"/>
          <w:sz w:val="20"/>
          <w:szCs w:val="20"/>
        </w:rPr>
        <w:t>urther information regarding these agreements and subsequent amendments. As a result of these agreements and the transactions contemplated thereby, Starboard ceased to be a beneficial owner of more than 5.0% of the Company's outstanding Common Stock on Jan</w:t>
      </w:r>
      <w:r>
        <w:rPr>
          <w:rFonts w:eastAsia="Times New Roman"/>
          <w:color w:val="000000"/>
          <w:sz w:val="20"/>
          <w:szCs w:val="20"/>
        </w:rPr>
        <w:t>uary 16, 2018. Included in the Condensed Consolidated Statements of Operations and Comprehensive Loss, the Company recorded interest expense related to Starboard of $8.2 million and $16.4 million during the three and six months ended June 30, 2020, respect</w:t>
      </w:r>
      <w:r>
        <w:rPr>
          <w:rFonts w:eastAsia="Times New Roman"/>
          <w:color w:val="000000"/>
          <w:sz w:val="20"/>
          <w:szCs w:val="20"/>
        </w:rPr>
        <w:t>ively; and $8.1 million and $14.8 million during the three and six months ended June 30, 2019, respectively</w:t>
      </w:r>
      <w:r>
        <w:rPr>
          <w:rFonts w:eastAsia="Times New Roman"/>
          <w:color w:val="000000"/>
          <w:sz w:val="20"/>
          <w:szCs w:val="20"/>
        </w:rPr>
        <w:t>.</w:t>
      </w:r>
    </w:p>
    <w:p w:rsidR="00000000" w:rsidRDefault="007258AD">
      <w:pPr>
        <w:jc w:val="center"/>
        <w:divId w:val="957948634"/>
        <w:rPr>
          <w:rFonts w:eastAsia="Times New Roman"/>
        </w:rPr>
      </w:pPr>
      <w:r>
        <w:rPr>
          <w:rFonts w:eastAsia="Times New Roman"/>
          <w:color w:val="000000"/>
          <w:sz w:val="20"/>
          <w:szCs w:val="20"/>
        </w:rPr>
        <w:t>1</w:t>
      </w:r>
      <w:r>
        <w:rPr>
          <w:rFonts w:eastAsia="Times New Roman"/>
          <w:color w:val="000000"/>
          <w:sz w:val="20"/>
          <w:szCs w:val="20"/>
        </w:rPr>
        <w:t>8</w:t>
      </w:r>
    </w:p>
    <w:p w:rsidR="00000000" w:rsidRDefault="007258AD">
      <w:pPr>
        <w:rPr>
          <w:rFonts w:eastAsia="Times New Roman"/>
        </w:rPr>
      </w:pPr>
      <w:r>
        <w:rPr>
          <w:rFonts w:eastAsia="Times New Roman"/>
        </w:rPr>
        <w:pict>
          <v:rect id="_x0000_i1045" style="width:0;height:1.5pt" o:hralign="center" o:hrstd="t" o:hr="t" fillcolor="#a0a0a0" stroked="f"/>
        </w:pict>
      </w:r>
    </w:p>
    <w:p w:rsidR="00000000" w:rsidRDefault="007258AD">
      <w:pPr>
        <w:jc w:val="both"/>
        <w:divId w:val="58553799"/>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58553799"/>
        <w:rPr>
          <w:rFonts w:eastAsia="Times New Roman"/>
        </w:rPr>
      </w:pPr>
    </w:p>
    <w:p w:rsidR="00000000" w:rsidRDefault="007258AD">
      <w:pPr>
        <w:jc w:val="both"/>
        <w:divId w:val="1987279858"/>
        <w:rPr>
          <w:rFonts w:eastAsia="Times New Roman"/>
        </w:rPr>
      </w:pPr>
      <w:r>
        <w:rPr>
          <w:rFonts w:eastAsia="Times New Roman"/>
          <w:color w:val="000000"/>
          <w:sz w:val="20"/>
          <w:szCs w:val="20"/>
        </w:rPr>
        <w:t xml:space="preserve">The Company has the following </w:t>
      </w:r>
      <w:r>
        <w:rPr>
          <w:rFonts w:eastAsia="Times New Roman"/>
          <w:color w:val="000000"/>
          <w:sz w:val="20"/>
          <w:szCs w:val="20"/>
        </w:rPr>
        <w:t>balances related to transactions with Starboard, as reflected in the Condensed Consolidated Balance Sheets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5823"/>
        <w:gridCol w:w="48"/>
        <w:gridCol w:w="36"/>
        <w:gridCol w:w="36"/>
        <w:gridCol w:w="36"/>
        <w:gridCol w:w="126"/>
        <w:gridCol w:w="894"/>
        <w:gridCol w:w="80"/>
        <w:gridCol w:w="36"/>
        <w:gridCol w:w="36"/>
        <w:gridCol w:w="36"/>
        <w:gridCol w:w="126"/>
        <w:gridCol w:w="867"/>
        <w:gridCol w:w="80"/>
      </w:tblGrid>
      <w:tr w:rsidR="00000000">
        <w:trPr>
          <w:divId w:val="804933180"/>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80493318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r>
      <w:tr w:rsidR="00000000">
        <w:trPr>
          <w:divId w:val="804933180"/>
          <w:jc w:val="center"/>
        </w:trPr>
        <w:tc>
          <w:tcPr>
            <w:tcW w:w="0" w:type="auto"/>
            <w:gridSpan w:val="3"/>
            <w:tcMar>
              <w:top w:w="30" w:type="dxa"/>
              <w:left w:w="20" w:type="dxa"/>
              <w:bottom w:w="30" w:type="dxa"/>
              <w:right w:w="20" w:type="dxa"/>
            </w:tcMar>
            <w:vAlign w:val="bottom"/>
            <w:hideMark/>
          </w:tcPr>
          <w:p w:rsidR="00000000" w:rsidRDefault="007258AD">
            <w:pPr>
              <w:jc w:val="both"/>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December 31, 201</w:t>
            </w:r>
            <w:r>
              <w:rPr>
                <w:rFonts w:eastAsia="Times New Roman"/>
                <w:b/>
                <w:bCs/>
                <w:color w:val="000000"/>
                <w:sz w:val="16"/>
                <w:szCs w:val="16"/>
              </w:rPr>
              <w:t>9</w:t>
            </w:r>
          </w:p>
        </w:tc>
      </w:tr>
      <w:tr w:rsidR="00000000">
        <w:trPr>
          <w:divId w:val="804933180"/>
          <w:jc w:val="center"/>
        </w:trPr>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expense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80493318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Financing derivative</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21,587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80493318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Senior secured convertible note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188,275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184,075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80493318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804933180"/>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bl>
    <w:p w:rsidR="00000000" w:rsidRDefault="007258AD">
      <w:pPr>
        <w:ind w:hanging="360"/>
        <w:jc w:val="both"/>
        <w:divId w:val="1683624678"/>
        <w:rPr>
          <w:rFonts w:eastAsia="Times New Roman"/>
        </w:rPr>
      </w:pPr>
      <w:r>
        <w:rPr>
          <w:rFonts w:eastAsia="Times New Roman"/>
          <w:b/>
          <w:bCs/>
          <w:color w:val="000000"/>
          <w:sz w:val="20"/>
          <w:szCs w:val="20"/>
        </w:rPr>
        <w:t>9</w:t>
      </w:r>
      <w:r>
        <w:rPr>
          <w:rFonts w:eastAsia="Times New Roman"/>
          <w:b/>
          <w:bCs/>
          <w:color w:val="000000"/>
          <w:sz w:val="20"/>
          <w:szCs w:val="20"/>
        </w:rPr>
        <w:t>.</w:t>
      </w:r>
      <w:r>
        <w:rPr>
          <w:rFonts w:eastAsia="Times New Roman"/>
          <w:b/>
          <w:bCs/>
          <w:color w:val="000000"/>
          <w:sz w:val="20"/>
          <w:szCs w:val="20"/>
        </w:rPr>
        <w:t>Commitments and Contingencie</w:t>
      </w:r>
      <w:r>
        <w:rPr>
          <w:rFonts w:eastAsia="Times New Roman"/>
          <w:b/>
          <w:bCs/>
          <w:color w:val="000000"/>
          <w:sz w:val="20"/>
          <w:szCs w:val="20"/>
        </w:rPr>
        <w:t>s</w:t>
      </w:r>
    </w:p>
    <w:p w:rsidR="00000000" w:rsidRDefault="007258AD">
      <w:pPr>
        <w:jc w:val="both"/>
        <w:divId w:val="303434579"/>
        <w:rPr>
          <w:rFonts w:eastAsia="Times New Roman"/>
        </w:rPr>
      </w:pPr>
      <w:r>
        <w:rPr>
          <w:rFonts w:eastAsia="Times New Roman"/>
          <w:b/>
          <w:bCs/>
          <w:i/>
          <w:iCs/>
          <w:color w:val="000000"/>
          <w:sz w:val="20"/>
          <w:szCs w:val="20"/>
        </w:rPr>
        <w:t>Contingencies</w:t>
      </w:r>
      <w:r>
        <w:rPr>
          <w:rFonts w:eastAsia="Times New Roman"/>
          <w:b/>
          <w:bCs/>
          <w:i/>
          <w:iCs/>
          <w:color w:val="000000"/>
          <w:sz w:val="20"/>
          <w:szCs w:val="20"/>
        </w:rPr>
        <w:t xml:space="preserve"> </w:t>
      </w:r>
    </w:p>
    <w:p w:rsidR="00000000" w:rsidRDefault="007258AD">
      <w:pPr>
        <w:jc w:val="both"/>
        <w:divId w:val="1939480951"/>
        <w:rPr>
          <w:rFonts w:eastAsia="Times New Roman"/>
        </w:rPr>
      </w:pPr>
      <w:r>
        <w:rPr>
          <w:rFonts w:eastAsia="Times New Roman"/>
          <w:color w:val="000000"/>
          <w:sz w:val="20"/>
          <w:szCs w:val="20"/>
        </w:rPr>
        <w:t>The Company is involved in various legal proceedings from time to time. </w:t>
      </w:r>
      <w:r>
        <w:rPr>
          <w:rFonts w:eastAsia="Times New Roman"/>
          <w:color w:val="000000"/>
          <w:sz w:val="20"/>
          <w:szCs w:val="20"/>
        </w:rPr>
        <w:t>The Company establishes reserves for specific legal proceedings when management determines that the likelihood of an unfavorable outcome is probable, and the amount of loss can be reasonably estimated. The Company has also identified certain other legal ma</w:t>
      </w:r>
      <w:r>
        <w:rPr>
          <w:rFonts w:eastAsia="Times New Roman"/>
          <w:color w:val="000000"/>
          <w:sz w:val="20"/>
          <w:szCs w:val="20"/>
        </w:rPr>
        <w:t xml:space="preserve">tters where an unfavorable outcome is reasonably possible and/or for which no estimate of possible losses can be made. In these cases, the Company does not establish a reserve until it can reasonably estimate the loss. Legal fees are expensed as incurred. </w:t>
      </w:r>
      <w:r>
        <w:rPr>
          <w:rFonts w:eastAsia="Times New Roman"/>
          <w:color w:val="000000"/>
          <w:sz w:val="20"/>
          <w:szCs w:val="20"/>
        </w:rPr>
        <w:t>The outcomes of legal proceedings are inherently unpredictable, subject to significant uncertainties, and could be material to the Company's operating results and cash flows for a particular period</w:t>
      </w:r>
      <w:r>
        <w:rPr>
          <w:rFonts w:eastAsia="Times New Roman"/>
          <w:color w:val="000000"/>
          <w:sz w:val="20"/>
          <w:szCs w:val="20"/>
        </w:rPr>
        <w:t>.</w:t>
      </w:r>
    </w:p>
    <w:p w:rsidR="00000000" w:rsidRDefault="007258AD">
      <w:pPr>
        <w:jc w:val="both"/>
        <w:divId w:val="1763262311"/>
        <w:rPr>
          <w:rFonts w:eastAsia="Times New Roman"/>
        </w:rPr>
      </w:pPr>
      <w:r>
        <w:rPr>
          <w:rFonts w:eastAsia="Times New Roman"/>
          <w:b/>
          <w:bCs/>
          <w:i/>
          <w:iCs/>
          <w:color w:val="000000"/>
          <w:sz w:val="20"/>
          <w:szCs w:val="20"/>
        </w:rPr>
        <w:t>Privacy Class Action Litigatio</w:t>
      </w:r>
      <w:r>
        <w:rPr>
          <w:rFonts w:eastAsia="Times New Roman"/>
          <w:b/>
          <w:bCs/>
          <w:i/>
          <w:iCs/>
          <w:color w:val="000000"/>
          <w:sz w:val="20"/>
          <w:szCs w:val="20"/>
        </w:rPr>
        <w:t>n</w:t>
      </w:r>
    </w:p>
    <w:p w:rsidR="00000000" w:rsidRDefault="007258AD">
      <w:pPr>
        <w:jc w:val="both"/>
        <w:divId w:val="1522670123"/>
        <w:rPr>
          <w:rFonts w:eastAsia="Times New Roman"/>
        </w:rPr>
      </w:pPr>
      <w:r>
        <w:rPr>
          <w:rFonts w:eastAsia="Times New Roman"/>
          <w:color w:val="000000"/>
          <w:sz w:val="20"/>
          <w:szCs w:val="20"/>
        </w:rPr>
        <w:t>On September 11, 2017, th</w:t>
      </w:r>
      <w:r>
        <w:rPr>
          <w:rFonts w:eastAsia="Times New Roman"/>
          <w:color w:val="000000"/>
          <w:sz w:val="20"/>
          <w:szCs w:val="20"/>
        </w:rPr>
        <w:t>e Company and a wholly-owned subsidiary, Full Circle Studies, Inc., ("Full Circle"), received demand letters on behalf of named plaintiffs and all others similarly situated alleging that the Company and Full Circle collected personal information from users</w:t>
      </w:r>
      <w:r>
        <w:rPr>
          <w:rFonts w:eastAsia="Times New Roman"/>
          <w:color w:val="000000"/>
          <w:sz w:val="20"/>
          <w:szCs w:val="20"/>
        </w:rPr>
        <w:t xml:space="preserve"> under the age of 13 without verifiable parental consent in violation of Massachusetts law and the federal Children's Online Privacy Protection Act. The letters alleged that the Company and Full Circle collected such personal information by embedding adver</w:t>
      </w:r>
      <w:r>
        <w:rPr>
          <w:rFonts w:eastAsia="Times New Roman"/>
          <w:color w:val="000000"/>
          <w:sz w:val="20"/>
          <w:szCs w:val="20"/>
        </w:rPr>
        <w:t>tising software development kits ("SDKs") in applications created or developed by The Walt Disney Company. The letters sought monetary damages, attorneys' fees and damages under Massachusetts law. On June 4, 2018, the plaintiffs filed amended complaints wi</w:t>
      </w:r>
      <w:r>
        <w:rPr>
          <w:rFonts w:eastAsia="Times New Roman"/>
          <w:color w:val="000000"/>
          <w:sz w:val="20"/>
          <w:szCs w:val="20"/>
        </w:rPr>
        <w:t>th the U.S. District Court for the Northern District of California adding the Company and Full Circle as defendants in a purported class action (captioned</w:t>
      </w:r>
      <w:r>
        <w:rPr>
          <w:rFonts w:eastAsia="Times New Roman"/>
          <w:color w:val="000000"/>
          <w:sz w:val="20"/>
          <w:szCs w:val="20"/>
        </w:rPr>
        <w:t xml:space="preserve"> </w:t>
      </w:r>
      <w:r>
        <w:rPr>
          <w:rFonts w:eastAsia="Times New Roman"/>
          <w:i/>
          <w:iCs/>
          <w:color w:val="000000"/>
          <w:sz w:val="20"/>
          <w:szCs w:val="20"/>
        </w:rPr>
        <w:t>Rushing, et al v. The Walt Disney Company, et al.,</w:t>
      </w:r>
      <w:r>
        <w:rPr>
          <w:rFonts w:eastAsia="Times New Roman"/>
          <w:i/>
          <w:iCs/>
          <w:color w:val="000000"/>
          <w:sz w:val="20"/>
          <w:szCs w:val="20"/>
        </w:rPr>
        <w:t xml:space="preserve"> </w:t>
      </w:r>
      <w:r>
        <w:rPr>
          <w:rFonts w:eastAsia="Times New Roman"/>
          <w:color w:val="000000"/>
          <w:sz w:val="20"/>
          <w:szCs w:val="20"/>
        </w:rPr>
        <w:t>Case No. 3:17-cv-04419-JD) against Disney, Twitter</w:t>
      </w:r>
      <w:r>
        <w:rPr>
          <w:rFonts w:eastAsia="Times New Roman"/>
          <w:color w:val="000000"/>
          <w:sz w:val="20"/>
          <w:szCs w:val="20"/>
        </w:rPr>
        <w:t xml:space="preserve"> and other defendants, alleging violations of California's constitutional right to privacy and intrusion upon seclusion law, New York's deceptive trade practices statute, and Massachusetts' deceptive trade practices and right to privacy statutes. The compl</w:t>
      </w:r>
      <w:r>
        <w:rPr>
          <w:rFonts w:eastAsia="Times New Roman"/>
          <w:color w:val="000000"/>
          <w:sz w:val="20"/>
          <w:szCs w:val="20"/>
        </w:rPr>
        <w:t>aints alleged damages in excess of $5.0 million, with any award to be apportioned among the defendants. On February 26, 2020, the Company and Full Circle reached an agreement with the plaintiffs to settle the complaints in full, with no admission of liabil</w:t>
      </w:r>
      <w:r>
        <w:rPr>
          <w:rFonts w:eastAsia="Times New Roman"/>
          <w:color w:val="000000"/>
          <w:sz w:val="20"/>
          <w:szCs w:val="20"/>
        </w:rPr>
        <w:t>ity, in return for injunctive relief and payment of the plaintiffs' attorneys' fees, to be covered by the Company's insurance. The settlement is subject to court approval</w:t>
      </w:r>
      <w:r>
        <w:rPr>
          <w:rFonts w:eastAsia="Times New Roman"/>
          <w:color w:val="000000"/>
          <w:sz w:val="20"/>
          <w:szCs w:val="20"/>
        </w:rPr>
        <w:t>.</w:t>
      </w:r>
    </w:p>
    <w:p w:rsidR="00000000" w:rsidRDefault="007258AD">
      <w:pPr>
        <w:jc w:val="both"/>
        <w:divId w:val="1798333435"/>
        <w:rPr>
          <w:rFonts w:eastAsia="Times New Roman"/>
        </w:rPr>
      </w:pPr>
      <w:r>
        <w:rPr>
          <w:rFonts w:eastAsia="Times New Roman"/>
          <w:b/>
          <w:bCs/>
          <w:i/>
          <w:iCs/>
          <w:color w:val="000000"/>
          <w:sz w:val="20"/>
          <w:szCs w:val="20"/>
        </w:rPr>
        <w:t>Securities Class Action Litigation</w:t>
      </w:r>
      <w:r>
        <w:rPr>
          <w:rFonts w:eastAsia="Times New Roman"/>
          <w:b/>
          <w:bCs/>
          <w:i/>
          <w:iCs/>
          <w:color w:val="000000"/>
          <w:sz w:val="20"/>
          <w:szCs w:val="20"/>
        </w:rPr>
        <w:t xml:space="preserve"> </w:t>
      </w:r>
    </w:p>
    <w:p w:rsidR="00000000" w:rsidRDefault="007258AD">
      <w:pPr>
        <w:jc w:val="both"/>
        <w:divId w:val="847713050"/>
        <w:rPr>
          <w:rFonts w:eastAsia="Times New Roman"/>
        </w:rPr>
      </w:pPr>
      <w:r>
        <w:rPr>
          <w:rFonts w:eastAsia="Times New Roman"/>
          <w:color w:val="000000"/>
          <w:sz w:val="20"/>
          <w:szCs w:val="20"/>
        </w:rPr>
        <w:t xml:space="preserve">On April 10, 2019, Sergii Bratusov, a purported </w:t>
      </w:r>
      <w:r>
        <w:rPr>
          <w:rFonts w:eastAsia="Times New Roman"/>
          <w:color w:val="000000"/>
          <w:sz w:val="20"/>
          <w:szCs w:val="20"/>
        </w:rPr>
        <w:t>shareholder of the Company, filed a putative class action complaint against the Company. The case, captioned</w:t>
      </w:r>
      <w:r>
        <w:rPr>
          <w:rFonts w:eastAsia="Times New Roman"/>
          <w:color w:val="000000"/>
          <w:sz w:val="20"/>
          <w:szCs w:val="20"/>
        </w:rPr>
        <w:t xml:space="preserve"> </w:t>
      </w:r>
      <w:r>
        <w:rPr>
          <w:rFonts w:eastAsia="Times New Roman"/>
          <w:i/>
          <w:iCs/>
          <w:color w:val="000000"/>
          <w:sz w:val="20"/>
          <w:szCs w:val="20"/>
        </w:rPr>
        <w:t>Bratusov v. comScore, Inc., et al</w:t>
      </w:r>
      <w:r>
        <w:rPr>
          <w:rFonts w:eastAsia="Times New Roman"/>
          <w:i/>
          <w:iCs/>
          <w:color w:val="000000"/>
          <w:sz w:val="20"/>
          <w:szCs w:val="20"/>
        </w:rPr>
        <w:t>.</w:t>
      </w:r>
      <w:r>
        <w:rPr>
          <w:rFonts w:eastAsia="Times New Roman"/>
          <w:color w:val="000000"/>
          <w:sz w:val="20"/>
          <w:szCs w:val="20"/>
        </w:rPr>
        <w:t>, Case No. 19 Civ. 03210, was filed in the U.S. District Court for the Southern District of New York and also nam</w:t>
      </w:r>
      <w:r>
        <w:rPr>
          <w:rFonts w:eastAsia="Times New Roman"/>
          <w:color w:val="000000"/>
          <w:sz w:val="20"/>
          <w:szCs w:val="20"/>
        </w:rPr>
        <w:t>ed the Company's Chief Financial Officer, Gregory Fink, and the Company's former Chief Executive Officer, Bryan Wiener, as defendants. The complaint, which was amended on September 30, 2019, purported to bring claims on behalf of all persons and entities t</w:t>
      </w:r>
      <w:r>
        <w:rPr>
          <w:rFonts w:eastAsia="Times New Roman"/>
          <w:color w:val="000000"/>
          <w:sz w:val="20"/>
          <w:szCs w:val="20"/>
        </w:rPr>
        <w:t>hat acquired securities of the Company between February 28, 2019 and August 7, 2019 and alleged that the Company, Mr. Wiener, and Mr. Fink violated Section 10(b) of the Exchange Act and Rule 10b-5 promulgated thereunder, by allegedly failing to disclose in</w:t>
      </w:r>
      <w:r>
        <w:rPr>
          <w:rFonts w:eastAsia="Times New Roman"/>
          <w:color w:val="000000"/>
          <w:sz w:val="20"/>
          <w:szCs w:val="20"/>
        </w:rPr>
        <w:t xml:space="preserve"> public statements in February and March 2019 material information concerning a disagreement relating to the Company's business strategy. The complaint also alleged that Mr. Wiener and Mr. Fink, acting as control persons of the Company, violated Section 20</w:t>
      </w:r>
      <w:r>
        <w:rPr>
          <w:rFonts w:eastAsia="Times New Roman"/>
          <w:color w:val="000000"/>
          <w:sz w:val="20"/>
          <w:szCs w:val="20"/>
        </w:rPr>
        <w:t>(a) of the Exchange Act in connection with the Company's alleged failure to disclose material information. The complaint sought a determination of the propriety of the class, compensatory damages and the award of reasonable costs and expenses incurred in t</w:t>
      </w:r>
      <w:r>
        <w:rPr>
          <w:rFonts w:eastAsia="Times New Roman"/>
          <w:color w:val="000000"/>
          <w:sz w:val="20"/>
          <w:szCs w:val="20"/>
        </w:rPr>
        <w:t>he action. On June 24, 2020, the Court granted the defendants' motion to dismiss the complaint for failure to state a claim. On July 24, 2020, the complaint was dismissed with prejudice</w:t>
      </w:r>
      <w:r>
        <w:rPr>
          <w:rFonts w:eastAsia="Times New Roman"/>
          <w:color w:val="000000"/>
          <w:sz w:val="20"/>
          <w:szCs w:val="20"/>
        </w:rPr>
        <w:t>.</w:t>
      </w:r>
    </w:p>
    <w:p w:rsidR="00000000" w:rsidRDefault="007258AD">
      <w:pPr>
        <w:jc w:val="both"/>
        <w:divId w:val="1249582981"/>
        <w:rPr>
          <w:rFonts w:eastAsia="Times New Roman"/>
        </w:rPr>
      </w:pPr>
      <w:r>
        <w:rPr>
          <w:rFonts w:eastAsia="Times New Roman"/>
          <w:b/>
          <w:bCs/>
          <w:i/>
          <w:iCs/>
          <w:color w:val="000000"/>
          <w:sz w:val="20"/>
          <w:szCs w:val="20"/>
        </w:rPr>
        <w:t>Other Matter</w:t>
      </w:r>
      <w:r>
        <w:rPr>
          <w:rFonts w:eastAsia="Times New Roman"/>
          <w:b/>
          <w:bCs/>
          <w:i/>
          <w:iCs/>
          <w:color w:val="000000"/>
          <w:sz w:val="20"/>
          <w:szCs w:val="20"/>
        </w:rPr>
        <w:t>s</w:t>
      </w:r>
    </w:p>
    <w:p w:rsidR="00000000" w:rsidRDefault="007258AD">
      <w:pPr>
        <w:jc w:val="both"/>
        <w:divId w:val="1426733108"/>
        <w:rPr>
          <w:rFonts w:eastAsia="Times New Roman"/>
        </w:rPr>
      </w:pPr>
      <w:r>
        <w:rPr>
          <w:rFonts w:eastAsia="Times New Roman"/>
          <w:color w:val="000000"/>
          <w:sz w:val="20"/>
          <w:szCs w:val="20"/>
        </w:rPr>
        <w:t>In addition to the matters described above, the Company</w:t>
      </w:r>
      <w:r>
        <w:rPr>
          <w:rFonts w:eastAsia="Times New Roman"/>
          <w:color w:val="000000"/>
          <w:sz w:val="20"/>
          <w:szCs w:val="20"/>
        </w:rPr>
        <w:t xml:space="preserve"> is, and may become, a party to a variety of legal proceedings from time to time that arise in the normal course of the Company's business. While the results of such legal proceedings cannot be predicted with certainty, management believes that, based on c</w:t>
      </w:r>
      <w:r>
        <w:rPr>
          <w:rFonts w:eastAsia="Times New Roman"/>
          <w:color w:val="000000"/>
          <w:sz w:val="20"/>
          <w:szCs w:val="20"/>
        </w:rPr>
        <w:t>urrent knowledge, the final outcome of any such current pending matters will not have a material adverse effect on the Company's financial position, results of operations or cash flows. Regardless of the outcome, legal proceedings can have an adverse effec</w:t>
      </w:r>
      <w:r>
        <w:rPr>
          <w:rFonts w:eastAsia="Times New Roman"/>
          <w:color w:val="000000"/>
          <w:sz w:val="20"/>
          <w:szCs w:val="20"/>
        </w:rPr>
        <w:t>t on the Company because of defense costs, diversion of management resources and other factors</w:t>
      </w:r>
      <w:r>
        <w:rPr>
          <w:rFonts w:eastAsia="Times New Roman"/>
          <w:color w:val="000000"/>
          <w:sz w:val="20"/>
          <w:szCs w:val="20"/>
        </w:rPr>
        <w:t>.</w:t>
      </w:r>
    </w:p>
    <w:p w:rsidR="00000000" w:rsidRDefault="007258AD">
      <w:pPr>
        <w:jc w:val="center"/>
        <w:divId w:val="1155297393"/>
        <w:rPr>
          <w:rFonts w:eastAsia="Times New Roman"/>
        </w:rPr>
      </w:pPr>
      <w:r>
        <w:rPr>
          <w:rFonts w:eastAsia="Times New Roman"/>
          <w:color w:val="000000"/>
          <w:sz w:val="20"/>
          <w:szCs w:val="20"/>
        </w:rPr>
        <w:t>1</w:t>
      </w:r>
      <w:r>
        <w:rPr>
          <w:rFonts w:eastAsia="Times New Roman"/>
          <w:color w:val="000000"/>
          <w:sz w:val="20"/>
          <w:szCs w:val="20"/>
        </w:rPr>
        <w:t>9</w:t>
      </w:r>
    </w:p>
    <w:p w:rsidR="00000000" w:rsidRDefault="007258AD">
      <w:pPr>
        <w:rPr>
          <w:rFonts w:eastAsia="Times New Roman"/>
        </w:rPr>
      </w:pPr>
      <w:r>
        <w:rPr>
          <w:rFonts w:eastAsia="Times New Roman"/>
        </w:rPr>
        <w:pict>
          <v:rect id="_x0000_i1046" style="width:0;height:1.5pt" o:hralign="center" o:hrstd="t" o:hr="t" fillcolor="#a0a0a0" stroked="f"/>
        </w:pict>
      </w:r>
    </w:p>
    <w:p w:rsidR="00000000" w:rsidRDefault="007258AD">
      <w:pPr>
        <w:jc w:val="both"/>
        <w:divId w:val="1989942323"/>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989942323"/>
        <w:rPr>
          <w:rFonts w:eastAsia="Times New Roman"/>
        </w:rPr>
      </w:pPr>
    </w:p>
    <w:p w:rsidR="00000000" w:rsidRDefault="007258AD">
      <w:pPr>
        <w:jc w:val="both"/>
        <w:divId w:val="1541819147"/>
        <w:rPr>
          <w:rFonts w:eastAsia="Times New Roman"/>
        </w:rPr>
      </w:pPr>
      <w:r>
        <w:rPr>
          <w:rFonts w:eastAsia="Times New Roman"/>
          <w:b/>
          <w:bCs/>
          <w:i/>
          <w:iCs/>
          <w:color w:val="000000"/>
          <w:sz w:val="20"/>
          <w:szCs w:val="20"/>
        </w:rPr>
        <w:t>Indemnificatio</w:t>
      </w:r>
      <w:r>
        <w:rPr>
          <w:rFonts w:eastAsia="Times New Roman"/>
          <w:b/>
          <w:bCs/>
          <w:i/>
          <w:iCs/>
          <w:color w:val="000000"/>
          <w:sz w:val="20"/>
          <w:szCs w:val="20"/>
        </w:rPr>
        <w:t>n</w:t>
      </w:r>
    </w:p>
    <w:p w:rsidR="00000000" w:rsidRDefault="007258AD">
      <w:pPr>
        <w:jc w:val="both"/>
        <w:divId w:val="93289424"/>
        <w:rPr>
          <w:rFonts w:eastAsia="Times New Roman"/>
        </w:rPr>
      </w:pPr>
      <w:r>
        <w:rPr>
          <w:rFonts w:eastAsia="Times New Roman"/>
          <w:color w:val="000000"/>
          <w:sz w:val="20"/>
          <w:szCs w:val="20"/>
        </w:rPr>
        <w:t>The Company has entered into indemnification agreements with each of the Company's directors and certain officers, and the Com</w:t>
      </w:r>
      <w:r>
        <w:rPr>
          <w:rFonts w:eastAsia="Times New Roman"/>
          <w:color w:val="000000"/>
          <w:sz w:val="20"/>
          <w:szCs w:val="20"/>
        </w:rPr>
        <w:t>pany's amended and restated certificate of incorporation requires it to indemnify each of its officers and directors, to the fullest extent permitted by Delaware law, who was or is a party or is threatened to be made a party to any threatened, pending or c</w:t>
      </w:r>
      <w:r>
        <w:rPr>
          <w:rFonts w:eastAsia="Times New Roman"/>
          <w:color w:val="000000"/>
          <w:sz w:val="20"/>
          <w:szCs w:val="20"/>
        </w:rPr>
        <w:t>ompleted action, suit or proceeding by reason of the fact that he or she is or was a director or officer of the Company. The Company has paid and may in the future pay legal counsel fees incurred by current and former directors and officers who are involve</w:t>
      </w:r>
      <w:r>
        <w:rPr>
          <w:rFonts w:eastAsia="Times New Roman"/>
          <w:color w:val="000000"/>
          <w:sz w:val="20"/>
          <w:szCs w:val="20"/>
        </w:rPr>
        <w:t>d in legal proceedings that require indemnification.</w:t>
      </w:r>
      <w:r>
        <w:rPr>
          <w:rFonts w:eastAsia="Times New Roman"/>
          <w:color w:val="000000"/>
          <w:sz w:val="20"/>
          <w:szCs w:val="20"/>
        </w:rPr>
        <w:t xml:space="preserve"> </w:t>
      </w:r>
    </w:p>
    <w:p w:rsidR="00000000" w:rsidRDefault="007258AD">
      <w:pPr>
        <w:jc w:val="both"/>
        <w:divId w:val="284046322"/>
        <w:rPr>
          <w:rFonts w:eastAsia="Times New Roman"/>
        </w:rPr>
      </w:pPr>
      <w:r>
        <w:rPr>
          <w:rFonts w:eastAsia="Times New Roman"/>
          <w:color w:val="000000"/>
          <w:sz w:val="20"/>
          <w:szCs w:val="20"/>
        </w:rPr>
        <w:t>Similarly, certain of the Company's commercial contracts require it to indemnify contract counterparties under specified circumstances, and the Company may incur legal counsel fees and other costs in co</w:t>
      </w:r>
      <w:r>
        <w:rPr>
          <w:rFonts w:eastAsia="Times New Roman"/>
          <w:color w:val="000000"/>
          <w:sz w:val="20"/>
          <w:szCs w:val="20"/>
        </w:rPr>
        <w:t>nnection with these obligations</w:t>
      </w:r>
      <w:r>
        <w:rPr>
          <w:rFonts w:eastAsia="Times New Roman"/>
          <w:color w:val="000000"/>
          <w:sz w:val="20"/>
          <w:szCs w:val="20"/>
        </w:rPr>
        <w:t>.</w:t>
      </w:r>
    </w:p>
    <w:p w:rsidR="00000000" w:rsidRDefault="007258AD">
      <w:pPr>
        <w:ind w:hanging="360"/>
        <w:jc w:val="both"/>
        <w:divId w:val="1780565633"/>
        <w:rPr>
          <w:rFonts w:eastAsia="Times New Roman"/>
        </w:rPr>
      </w:pPr>
      <w:r>
        <w:rPr>
          <w:rFonts w:eastAsia="Times New Roman"/>
          <w:b/>
          <w:bCs/>
          <w:color w:val="000000"/>
          <w:sz w:val="20"/>
          <w:szCs w:val="20"/>
        </w:rPr>
        <w:t>10</w:t>
      </w:r>
      <w:r>
        <w:rPr>
          <w:rFonts w:eastAsia="Times New Roman"/>
          <w:b/>
          <w:bCs/>
          <w:color w:val="000000"/>
          <w:sz w:val="20"/>
          <w:szCs w:val="20"/>
        </w:rPr>
        <w:t>.</w:t>
      </w:r>
      <w:r>
        <w:rPr>
          <w:rFonts w:eastAsia="Times New Roman"/>
          <w:b/>
          <w:bCs/>
          <w:color w:val="000000"/>
          <w:sz w:val="20"/>
          <w:szCs w:val="20"/>
        </w:rPr>
        <w:t>Organizational Restructurin</w:t>
      </w:r>
      <w:r>
        <w:rPr>
          <w:rFonts w:eastAsia="Times New Roman"/>
          <w:b/>
          <w:bCs/>
          <w:color w:val="000000"/>
          <w:sz w:val="20"/>
          <w:szCs w:val="20"/>
        </w:rPr>
        <w:t>g</w:t>
      </w:r>
    </w:p>
    <w:p w:rsidR="00000000" w:rsidRDefault="007258AD">
      <w:pPr>
        <w:jc w:val="both"/>
        <w:divId w:val="1628002859"/>
        <w:rPr>
          <w:rFonts w:eastAsia="Times New Roman"/>
        </w:rPr>
      </w:pPr>
      <w:r>
        <w:rPr>
          <w:rFonts w:eastAsia="Times New Roman"/>
          <w:color w:val="000000"/>
          <w:sz w:val="20"/>
          <w:szCs w:val="20"/>
        </w:rPr>
        <w:t>In 2019, the Company implemented two reduction in force plans ("May 2019 Restructuring Plan" and "August 2019 Restructuring Plan") in order to reduce costs and more effectively align resource</w:t>
      </w:r>
      <w:r>
        <w:rPr>
          <w:rFonts w:eastAsia="Times New Roman"/>
          <w:color w:val="000000"/>
          <w:sz w:val="20"/>
          <w:szCs w:val="20"/>
        </w:rPr>
        <w:t>s with business priorities. The May 2019 Restructuring Plan and the August 2019 Restructuring Plan are complete as of June 30, 2020, with remaining payments for the August 2019 Restructuring Plan through March 2021</w:t>
      </w:r>
      <w:r>
        <w:rPr>
          <w:rFonts w:eastAsia="Times New Roman"/>
          <w:color w:val="000000"/>
          <w:sz w:val="20"/>
          <w:szCs w:val="20"/>
        </w:rPr>
        <w:t>.</w:t>
      </w:r>
    </w:p>
    <w:p w:rsidR="00000000" w:rsidRDefault="007258AD">
      <w:pPr>
        <w:jc w:val="both"/>
        <w:divId w:val="1263684743"/>
        <w:rPr>
          <w:rFonts w:eastAsia="Times New Roman"/>
        </w:rPr>
      </w:pPr>
      <w:r>
        <w:rPr>
          <w:rFonts w:eastAsia="Times New Roman"/>
          <w:color w:val="000000"/>
          <w:sz w:val="20"/>
          <w:szCs w:val="20"/>
        </w:rPr>
        <w:t>The table below summarizes the balance of the restructuring liability as of June 30, 2020, which is recorded in accrued expenses in the Condensed Consolidated Balance Sheets, and the changes in the accrued amounts for the six months ended June 30, 2020, by</w:t>
      </w:r>
      <w:r>
        <w:rPr>
          <w:rFonts w:eastAsia="Times New Roman"/>
          <w:color w:val="000000"/>
          <w:sz w:val="20"/>
          <w:szCs w:val="20"/>
        </w:rPr>
        <w:t xml:space="preserve"> restructuring plan</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5823"/>
        <w:gridCol w:w="48"/>
        <w:gridCol w:w="36"/>
        <w:gridCol w:w="36"/>
        <w:gridCol w:w="36"/>
        <w:gridCol w:w="126"/>
        <w:gridCol w:w="894"/>
        <w:gridCol w:w="80"/>
        <w:gridCol w:w="36"/>
        <w:gridCol w:w="36"/>
        <w:gridCol w:w="36"/>
        <w:gridCol w:w="126"/>
        <w:gridCol w:w="867"/>
        <w:gridCol w:w="80"/>
      </w:tblGrid>
      <w:tr w:rsidR="00000000">
        <w:trPr>
          <w:divId w:val="776828510"/>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776828510"/>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May 2019 Restructuring Pla</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August 2019 Restructuring Pla</w:t>
            </w:r>
            <w:r>
              <w:rPr>
                <w:rFonts w:eastAsia="Times New Roman"/>
                <w:b/>
                <w:bCs/>
                <w:color w:val="000000"/>
                <w:sz w:val="16"/>
                <w:szCs w:val="16"/>
              </w:rPr>
              <w:t>n</w:t>
            </w:r>
          </w:p>
        </w:tc>
      </w:tr>
      <w:tr w:rsidR="00000000">
        <w:trPr>
          <w:divId w:val="77682851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Balance as of December 31, 201</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77682851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76828510"/>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ind w:firstLine="270"/>
              <w:divId w:val="14116263"/>
              <w:rPr>
                <w:rFonts w:eastAsia="Times New Roman"/>
              </w:rPr>
            </w:pPr>
            <w:r>
              <w:rPr>
                <w:rFonts w:eastAsia="Times New Roman"/>
                <w:color w:val="000000"/>
                <w:sz w:val="18"/>
                <w:szCs w:val="18"/>
              </w:rPr>
              <w:t>Payment</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258AD">
            <w:pPr>
              <w:ind w:firstLine="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776828510"/>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76828510"/>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Accrued Balance as of June 30, 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both"/>
        <w:divId w:val="836505199"/>
        <w:rPr>
          <w:rFonts w:eastAsia="Times New Roman"/>
        </w:rPr>
      </w:pPr>
    </w:p>
    <w:p w:rsidR="00000000" w:rsidRDefault="007258AD">
      <w:pPr>
        <w:jc w:val="center"/>
        <w:divId w:val="1409307314"/>
        <w:rPr>
          <w:rFonts w:eastAsia="Times New Roman"/>
        </w:rPr>
      </w:pPr>
      <w:r>
        <w:rPr>
          <w:rFonts w:eastAsia="Times New Roman"/>
          <w:color w:val="000000"/>
          <w:sz w:val="20"/>
          <w:szCs w:val="20"/>
        </w:rPr>
        <w:t>2</w:t>
      </w:r>
      <w:r>
        <w:rPr>
          <w:rFonts w:eastAsia="Times New Roman"/>
          <w:color w:val="000000"/>
          <w:sz w:val="20"/>
          <w:szCs w:val="20"/>
        </w:rPr>
        <w:t>0</w:t>
      </w:r>
    </w:p>
    <w:p w:rsidR="00000000" w:rsidRDefault="007258AD">
      <w:pPr>
        <w:rPr>
          <w:rFonts w:eastAsia="Times New Roman"/>
        </w:rPr>
      </w:pPr>
      <w:r>
        <w:rPr>
          <w:rFonts w:eastAsia="Times New Roman"/>
        </w:rPr>
        <w:pict>
          <v:rect id="_x0000_i1047" style="width:0;height:1.5pt" o:hralign="center" o:hrstd="t" o:hr="t" fillcolor="#a0a0a0" stroked="f"/>
        </w:pict>
      </w:r>
    </w:p>
    <w:p w:rsidR="00000000" w:rsidRDefault="007258AD">
      <w:pPr>
        <w:jc w:val="both"/>
        <w:divId w:val="955873120"/>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955873120"/>
        <w:rPr>
          <w:rFonts w:eastAsia="Times New Roman"/>
        </w:rPr>
      </w:pPr>
    </w:p>
    <w:p w:rsidR="00000000" w:rsidRDefault="007258AD">
      <w:pPr>
        <w:jc w:val="both"/>
        <w:divId w:val="1028718693"/>
        <w:rPr>
          <w:rFonts w:eastAsia="Times New Roman"/>
        </w:rPr>
      </w:pPr>
      <w:r>
        <w:rPr>
          <w:rFonts w:eastAsia="Times New Roman"/>
          <w:b/>
          <w:bCs/>
          <w:color w:val="000000"/>
          <w:sz w:val="20"/>
          <w:szCs w:val="20"/>
        </w:rPr>
        <w:t>ITEM 2</w:t>
      </w:r>
      <w:r>
        <w:rPr>
          <w:rFonts w:eastAsia="Times New Roman"/>
          <w:b/>
          <w:bCs/>
          <w:color w:val="000000"/>
          <w:sz w:val="20"/>
          <w:szCs w:val="20"/>
        </w:rPr>
        <w:t>.</w:t>
      </w:r>
      <w:r>
        <w:rPr>
          <w:rFonts w:eastAsia="Times New Roman"/>
          <w:b/>
          <w:bCs/>
          <w:i/>
          <w:iCs/>
          <w:color w:val="000000"/>
          <w:sz w:val="20"/>
          <w:szCs w:val="20"/>
        </w:rPr>
        <w:t> MANAGEMENT'S DISCUSSION AND ANALYSIS OF FINANCIAL CONDITION AND RESULTS OF OPERATION</w:t>
      </w:r>
      <w:r>
        <w:rPr>
          <w:rFonts w:eastAsia="Times New Roman"/>
          <w:b/>
          <w:bCs/>
          <w:i/>
          <w:iCs/>
          <w:color w:val="000000"/>
          <w:sz w:val="20"/>
          <w:szCs w:val="20"/>
        </w:rPr>
        <w:t>S</w:t>
      </w:r>
    </w:p>
    <w:p w:rsidR="00000000" w:rsidRDefault="007258AD">
      <w:pPr>
        <w:jc w:val="both"/>
        <w:divId w:val="455831692"/>
        <w:rPr>
          <w:rFonts w:eastAsia="Times New Roman"/>
        </w:rPr>
      </w:pPr>
      <w:r>
        <w:rPr>
          <w:rFonts w:eastAsia="Times New Roman"/>
          <w:i/>
          <w:iCs/>
          <w:color w:val="000000"/>
          <w:sz w:val="20"/>
          <w:szCs w:val="20"/>
        </w:rPr>
        <w:t>The following discussion and analysis of our f</w:t>
      </w:r>
      <w:r>
        <w:rPr>
          <w:rFonts w:eastAsia="Times New Roman"/>
          <w:i/>
          <w:iCs/>
          <w:color w:val="000000"/>
          <w:sz w:val="20"/>
          <w:szCs w:val="20"/>
        </w:rPr>
        <w:t>inancial condition and results of operations should be read in conjunction with our Condensed Consolidated Financial Statements and the related Notes to Condensed Consolidated Financial Statements included in Part I,</w:t>
      </w:r>
      <w:r>
        <w:rPr>
          <w:rFonts w:eastAsia="Times New Roman"/>
          <w:i/>
          <w:iCs/>
          <w:color w:val="000000"/>
          <w:sz w:val="20"/>
          <w:szCs w:val="20"/>
        </w:rPr>
        <w:t xml:space="preserve"> </w:t>
      </w:r>
      <w:hyperlink w:anchor="if3309f2850e6489fbcf3fb9276fba379_16" w:history="1">
        <w:r>
          <w:rPr>
            <w:rStyle w:val="a3"/>
            <w:rFonts w:eastAsia="Times New Roman"/>
            <w:i/>
            <w:iCs/>
            <w:sz w:val="20"/>
            <w:szCs w:val="20"/>
          </w:rPr>
          <w:t>Item 1</w:t>
        </w:r>
      </w:hyperlink>
      <w:r>
        <w:rPr>
          <w:rFonts w:eastAsia="Times New Roman"/>
          <w:i/>
          <w:iCs/>
          <w:color w:val="000000"/>
          <w:sz w:val="20"/>
          <w:szCs w:val="20"/>
        </w:rPr>
        <w:t xml:space="preserve"> </w:t>
      </w:r>
      <w:r>
        <w:rPr>
          <w:rFonts w:eastAsia="Times New Roman"/>
          <w:i/>
          <w:iCs/>
          <w:color w:val="000000"/>
          <w:sz w:val="20"/>
          <w:szCs w:val="20"/>
        </w:rPr>
        <w:t>of this Quarterly Report on Form 10-Q, or 10-Q. In addition to historical financial information, the following discussion and analysis contains forward-looking statements that involve risks, uncertainties and assumptions. Our actual results and timing of s</w:t>
      </w:r>
      <w:r>
        <w:rPr>
          <w:rFonts w:eastAsia="Times New Roman"/>
          <w:i/>
          <w:iCs/>
          <w:color w:val="000000"/>
          <w:sz w:val="20"/>
          <w:szCs w:val="20"/>
        </w:rPr>
        <w:t>elected events in future periods may differ materially from those anticipated or implied in these forward-looking statements as a result of many factors, including those discussed under</w:t>
      </w:r>
      <w:r>
        <w:rPr>
          <w:rFonts w:eastAsia="Times New Roman"/>
          <w:i/>
          <w:iCs/>
          <w:color w:val="000000"/>
          <w:sz w:val="20"/>
          <w:szCs w:val="20"/>
        </w:rPr>
        <w:t xml:space="preserve"> </w:t>
      </w:r>
      <w:hyperlink r:id="rId7" w:anchor="s626CB24FF3DC5DF49DE365CF200BB9B8" w:history="1">
        <w:r>
          <w:rPr>
            <w:rStyle w:val="a3"/>
            <w:rFonts w:eastAsia="Times New Roman"/>
            <w:i/>
            <w:iCs/>
            <w:sz w:val="20"/>
            <w:szCs w:val="20"/>
          </w:rPr>
          <w:t>Item 1A</w:t>
        </w:r>
      </w:hyperlink>
      <w:r>
        <w:rPr>
          <w:rFonts w:eastAsia="Times New Roman"/>
          <w:i/>
          <w:iCs/>
          <w:color w:val="000000"/>
          <w:sz w:val="20"/>
          <w:szCs w:val="20"/>
        </w:rPr>
        <w:t>, "Risk Factors" in our Annual Report on Form 10-K for the year ended December 31, 2019 (the "2019 10-K"), under</w:t>
      </w:r>
      <w:r>
        <w:rPr>
          <w:rFonts w:eastAsia="Times New Roman"/>
          <w:i/>
          <w:iCs/>
          <w:color w:val="000000"/>
          <w:sz w:val="20"/>
          <w:szCs w:val="20"/>
        </w:rPr>
        <w:t xml:space="preserve"> </w:t>
      </w:r>
      <w:hyperlink r:id="rId8" w:anchor="s3EC6014FADF05EAF91A36EA1DA966AC1" w:history="1">
        <w:r>
          <w:rPr>
            <w:rStyle w:val="a3"/>
            <w:rFonts w:eastAsia="Times New Roman"/>
            <w:i/>
            <w:iCs/>
            <w:sz w:val="20"/>
            <w:szCs w:val="20"/>
          </w:rPr>
          <w:t>Item 1A</w:t>
        </w:r>
      </w:hyperlink>
      <w:r>
        <w:rPr>
          <w:rFonts w:eastAsia="Times New Roman"/>
          <w:i/>
          <w:iCs/>
          <w:color w:val="000000"/>
          <w:sz w:val="20"/>
          <w:szCs w:val="20"/>
        </w:rPr>
        <w:t>, "Risk Factors" in our Quarterly Report on Form 10-Q for the quarter ended March 31, 2020, under</w:t>
      </w:r>
      <w:r>
        <w:rPr>
          <w:rFonts w:eastAsia="Times New Roman"/>
          <w:i/>
          <w:iCs/>
          <w:color w:val="000000"/>
          <w:sz w:val="20"/>
          <w:szCs w:val="20"/>
        </w:rPr>
        <w:t xml:space="preserve"> </w:t>
      </w:r>
      <w:hyperlink w:anchor="if3309f2850e6489fbcf3fb9276fba379_142" w:history="1">
        <w:r>
          <w:rPr>
            <w:rStyle w:val="a3"/>
            <w:rFonts w:eastAsia="Times New Roman"/>
            <w:i/>
            <w:iCs/>
            <w:sz w:val="20"/>
            <w:szCs w:val="20"/>
          </w:rPr>
          <w:t>Item 1A</w:t>
        </w:r>
      </w:hyperlink>
      <w:r>
        <w:rPr>
          <w:rFonts w:eastAsia="Times New Roman"/>
          <w:i/>
          <w:iCs/>
          <w:color w:val="000000"/>
          <w:sz w:val="20"/>
          <w:szCs w:val="20"/>
        </w:rPr>
        <w:t>,</w:t>
      </w:r>
      <w:r>
        <w:rPr>
          <w:rFonts w:eastAsia="Times New Roman"/>
          <w:i/>
          <w:iCs/>
          <w:color w:val="000000"/>
          <w:sz w:val="20"/>
          <w:szCs w:val="20"/>
        </w:rPr>
        <w:t xml:space="preserve"> "Risk Factors" in this 10-Q and elsewhere in this 10-Q. See also </w:t>
      </w:r>
      <w:r>
        <w:rPr>
          <w:rFonts w:eastAsia="Times New Roman"/>
          <w:i/>
          <w:iCs/>
          <w:color w:val="000000"/>
          <w:sz w:val="20"/>
          <w:szCs w:val="20"/>
        </w:rPr>
        <w:t>"</w:t>
      </w:r>
      <w:hyperlink w:anchor="if3309f2850e6489fbcf3fb9276fba379_10" w:history="1">
        <w:r>
          <w:rPr>
            <w:rStyle w:val="a3"/>
            <w:rFonts w:eastAsia="Times New Roman"/>
            <w:i/>
            <w:iCs/>
            <w:sz w:val="20"/>
            <w:szCs w:val="20"/>
          </w:rPr>
          <w:t>Cautionary Note Regarding Forward-Looking Statements</w:t>
        </w:r>
      </w:hyperlink>
      <w:r>
        <w:rPr>
          <w:rFonts w:eastAsia="Times New Roman"/>
          <w:i/>
          <w:iCs/>
          <w:color w:val="000000"/>
          <w:sz w:val="20"/>
          <w:szCs w:val="20"/>
        </w:rPr>
        <w:t>" at the beginning of this 10-Q</w:t>
      </w:r>
      <w:r>
        <w:rPr>
          <w:rFonts w:eastAsia="Times New Roman"/>
          <w:i/>
          <w:iCs/>
          <w:color w:val="000000"/>
          <w:sz w:val="20"/>
          <w:szCs w:val="20"/>
        </w:rPr>
        <w:t>.</w:t>
      </w:r>
    </w:p>
    <w:p w:rsidR="00000000" w:rsidRDefault="007258AD">
      <w:pPr>
        <w:jc w:val="both"/>
        <w:divId w:val="1548179618"/>
        <w:rPr>
          <w:rFonts w:eastAsia="Times New Roman"/>
        </w:rPr>
      </w:pPr>
      <w:r>
        <w:rPr>
          <w:rFonts w:eastAsia="Times New Roman"/>
          <w:i/>
          <w:iCs/>
          <w:color w:val="000000"/>
          <w:sz w:val="20"/>
          <w:szCs w:val="20"/>
        </w:rPr>
        <w:t>In an effort to contain the COVID-19 pandemic</w:t>
      </w:r>
      <w:r>
        <w:rPr>
          <w:rFonts w:eastAsia="Times New Roman"/>
          <w:i/>
          <w:iCs/>
          <w:color w:val="000000"/>
          <w:sz w:val="20"/>
          <w:szCs w:val="20"/>
        </w:rPr>
        <w:t xml:space="preserve"> or slow its spread, governments around the world have enacted various measures, including orders to close all businesses not deemed "essential", isolate residents to their homes or places of residence, and practice social distancing when engaging in essen</w:t>
      </w:r>
      <w:r>
        <w:rPr>
          <w:rFonts w:eastAsia="Times New Roman"/>
          <w:i/>
          <w:iCs/>
          <w:color w:val="000000"/>
          <w:sz w:val="20"/>
          <w:szCs w:val="20"/>
        </w:rPr>
        <w:t xml:space="preserve">tial activities. To date, these measures have had some impact on our business, including with respect to the timing of executing new or renewal contracts, the impact of closed movie theaters on our customers, customer payment delays and requests to modify </w:t>
      </w:r>
      <w:r>
        <w:rPr>
          <w:rFonts w:eastAsia="Times New Roman"/>
          <w:i/>
          <w:iCs/>
          <w:color w:val="000000"/>
          <w:sz w:val="20"/>
          <w:szCs w:val="20"/>
        </w:rPr>
        <w:t>contractual payment terms. These conditions have negatively impacted our liquidity and cash flows to some extent and are expected to continue to have an impact in future periods. As discussed in more detail below, we cannot quantify the impact that the COV</w:t>
      </w:r>
      <w:r>
        <w:rPr>
          <w:rFonts w:eastAsia="Times New Roman"/>
          <w:i/>
          <w:iCs/>
          <w:color w:val="000000"/>
          <w:sz w:val="20"/>
          <w:szCs w:val="20"/>
        </w:rPr>
        <w:t>ID-19 pandemic and related government actions may have on our business or liquidity in the future. We have taken actions to mitigate the impact of COVID-19 and will continue to actively monitor the situation. We may take further actions that alter our busi</w:t>
      </w:r>
      <w:r>
        <w:rPr>
          <w:rFonts w:eastAsia="Times New Roman"/>
          <w:i/>
          <w:iCs/>
          <w:color w:val="000000"/>
          <w:sz w:val="20"/>
          <w:szCs w:val="20"/>
        </w:rPr>
        <w:t>ness operations as may be required by federal, state, local or foreign authorities, or that we determine are in the best interests of our employees, customers, partners and stockholders. The full extent of the impact of the COVID-19 pandemic on our busines</w:t>
      </w:r>
      <w:r>
        <w:rPr>
          <w:rFonts w:eastAsia="Times New Roman"/>
          <w:i/>
          <w:iCs/>
          <w:color w:val="000000"/>
          <w:sz w:val="20"/>
          <w:szCs w:val="20"/>
        </w:rPr>
        <w:t>s, operations and financial results will depend on numerous evolving factors that we cannot currently predict. See</w:t>
      </w:r>
      <w:r>
        <w:rPr>
          <w:rFonts w:eastAsia="Times New Roman"/>
          <w:i/>
          <w:iCs/>
          <w:color w:val="000000"/>
          <w:sz w:val="20"/>
          <w:szCs w:val="20"/>
        </w:rPr>
        <w:t xml:space="preserve"> </w:t>
      </w:r>
      <w:hyperlink w:anchor="if3309f2850e6489fbcf3fb9276fba379_142" w:history="1">
        <w:r>
          <w:rPr>
            <w:rStyle w:val="a3"/>
            <w:rFonts w:eastAsia="Times New Roman"/>
            <w:i/>
            <w:iCs/>
            <w:sz w:val="20"/>
            <w:szCs w:val="20"/>
          </w:rPr>
          <w:t>Item 1A</w:t>
        </w:r>
      </w:hyperlink>
      <w:r>
        <w:rPr>
          <w:rFonts w:eastAsia="Times New Roman"/>
          <w:i/>
          <w:iCs/>
          <w:color w:val="000000"/>
          <w:sz w:val="20"/>
          <w:szCs w:val="20"/>
        </w:rPr>
        <w:t>, "Risk Factors" in this 10-Q and</w:t>
      </w:r>
      <w:r>
        <w:rPr>
          <w:rFonts w:eastAsia="Times New Roman"/>
          <w:i/>
          <w:iCs/>
          <w:color w:val="000000"/>
          <w:sz w:val="20"/>
          <w:szCs w:val="20"/>
        </w:rPr>
        <w:t xml:space="preserve"> </w:t>
      </w:r>
      <w:hyperlink r:id="rId9"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"Risk Factors" in our Quarterly Report on Form 10-Q for the quarter ended March 31, 2020 for additional details.</w:t>
      </w:r>
      <w:r>
        <w:rPr>
          <w:rFonts w:eastAsia="Times New Roman"/>
          <w:i/>
          <w:iCs/>
          <w:color w:val="000000"/>
          <w:sz w:val="20"/>
          <w:szCs w:val="20"/>
        </w:rPr>
        <w:t xml:space="preserve"> </w:t>
      </w:r>
    </w:p>
    <w:p w:rsidR="00000000" w:rsidRDefault="007258AD">
      <w:pPr>
        <w:jc w:val="both"/>
        <w:divId w:val="1751921306"/>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7258AD">
      <w:pPr>
        <w:jc w:val="both"/>
        <w:divId w:val="1659924379"/>
        <w:rPr>
          <w:rFonts w:eastAsia="Times New Roman"/>
        </w:rPr>
      </w:pPr>
      <w:r>
        <w:rPr>
          <w:rFonts w:eastAsia="Times New Roman"/>
          <w:color w:val="000000"/>
          <w:sz w:val="20"/>
          <w:szCs w:val="20"/>
        </w:rPr>
        <w:t xml:space="preserve">We are a global </w:t>
      </w:r>
      <w:r>
        <w:rPr>
          <w:rFonts w:eastAsia="Times New Roman"/>
          <w:color w:val="000000"/>
          <w:sz w:val="20"/>
          <w:szCs w:val="20"/>
        </w:rPr>
        <w:t>information and analytics company that measures advertising, content, and the consumer audiences of each, across media platforms. We create our products using a global data platform that combines information on digital platforms (smartphones, tablets and c</w:t>
      </w:r>
      <w:r>
        <w:rPr>
          <w:rFonts w:eastAsia="Times New Roman"/>
          <w:color w:val="000000"/>
          <w:sz w:val="20"/>
          <w:szCs w:val="20"/>
        </w:rPr>
        <w:t>omputers), television ("TV") and movie screens with demographics and other descriptive information in a privacy-focused way. We have developed proprietary data science that enables measurement of person-level and household-level audiences, removing duplica</w:t>
      </w:r>
      <w:r>
        <w:rPr>
          <w:rFonts w:eastAsia="Times New Roman"/>
          <w:color w:val="000000"/>
          <w:sz w:val="20"/>
          <w:szCs w:val="20"/>
        </w:rPr>
        <w:t>ted viewing across devices and over time. This combination of data and methods enables a common standard for buyers and sellers to transact on advertising. This helps companies across the media ecosystem better understand and monetize their audiences and d</w:t>
      </w:r>
      <w:r>
        <w:rPr>
          <w:rFonts w:eastAsia="Times New Roman"/>
          <w:color w:val="000000"/>
          <w:sz w:val="20"/>
          <w:szCs w:val="20"/>
        </w:rPr>
        <w:t xml:space="preserve">evelop marketing plans and products to more efficiently and effectively reach those audiences. Our ability to unify behavioral and other descriptive data enables us to provide audience ratings, advertising verification, and granular consumer segments that </w:t>
      </w:r>
      <w:r>
        <w:rPr>
          <w:rFonts w:eastAsia="Times New Roman"/>
          <w:color w:val="000000"/>
          <w:sz w:val="20"/>
          <w:szCs w:val="20"/>
        </w:rPr>
        <w:t>describe hundreds of millions of consumers. Our customers include digital publishers, television networks, movie studios, content owners, advertisers, agencies and technology providers</w:t>
      </w:r>
      <w:r>
        <w:rPr>
          <w:rFonts w:eastAsia="Times New Roman"/>
          <w:color w:val="000000"/>
          <w:sz w:val="20"/>
          <w:szCs w:val="20"/>
        </w:rPr>
        <w:t>.</w:t>
      </w:r>
    </w:p>
    <w:p w:rsidR="00000000" w:rsidRDefault="007258AD">
      <w:pPr>
        <w:jc w:val="both"/>
        <w:divId w:val="869417944"/>
        <w:rPr>
          <w:rFonts w:eastAsia="Times New Roman"/>
        </w:rPr>
      </w:pPr>
      <w:r>
        <w:rPr>
          <w:rFonts w:eastAsia="Times New Roman"/>
          <w:color w:val="000000"/>
          <w:sz w:val="20"/>
          <w:szCs w:val="20"/>
        </w:rPr>
        <w:t xml:space="preserve">The platforms we measure include TV, smartphones, computers, tablets, </w:t>
      </w:r>
      <w:r>
        <w:rPr>
          <w:rFonts w:eastAsia="Times New Roman"/>
          <w:color w:val="000000"/>
          <w:sz w:val="20"/>
          <w:szCs w:val="20"/>
        </w:rPr>
        <w:t>over-the-top ("OTT") devices and movie theaters. The information we analyze crosses geographies, types of content and activities, including websites, mobile applications, video games, television and movie programming, e-commerce, and advertising</w:t>
      </w:r>
      <w:r>
        <w:rPr>
          <w:rFonts w:eastAsia="Times New Roman"/>
          <w:color w:val="000000"/>
          <w:sz w:val="20"/>
          <w:szCs w:val="20"/>
        </w:rPr>
        <w:t>.</w:t>
      </w:r>
    </w:p>
    <w:p w:rsidR="00000000" w:rsidRDefault="007258AD">
      <w:pPr>
        <w:jc w:val="center"/>
        <w:divId w:val="1222716155"/>
        <w:rPr>
          <w:rFonts w:eastAsia="Times New Roman"/>
        </w:rPr>
      </w:pPr>
      <w:r>
        <w:rPr>
          <w:rFonts w:eastAsia="Times New Roman"/>
          <w:color w:val="000000"/>
          <w:sz w:val="20"/>
          <w:szCs w:val="20"/>
        </w:rPr>
        <w:t>2</w:t>
      </w:r>
      <w:r>
        <w:rPr>
          <w:rFonts w:eastAsia="Times New Roman"/>
          <w:color w:val="000000"/>
          <w:sz w:val="20"/>
          <w:szCs w:val="20"/>
        </w:rPr>
        <w:t>1</w:t>
      </w:r>
    </w:p>
    <w:p w:rsidR="00000000" w:rsidRDefault="007258AD">
      <w:pPr>
        <w:rPr>
          <w:rFonts w:eastAsia="Times New Roman"/>
        </w:rPr>
      </w:pPr>
      <w:r>
        <w:rPr>
          <w:rFonts w:eastAsia="Times New Roman"/>
        </w:rPr>
        <w:pict>
          <v:rect id="_x0000_i1048" style="width:0;height:1.5pt" o:hralign="center" o:hrstd="t" o:hr="t" fillcolor="#a0a0a0" stroked="f"/>
        </w:pict>
      </w:r>
    </w:p>
    <w:p w:rsidR="00000000" w:rsidRDefault="007258AD">
      <w:pPr>
        <w:jc w:val="both"/>
        <w:divId w:val="1170103459"/>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170103459"/>
        <w:rPr>
          <w:rFonts w:eastAsia="Times New Roman"/>
        </w:rPr>
      </w:pPr>
    </w:p>
    <w:p w:rsidR="00000000" w:rsidRDefault="007258AD">
      <w:pPr>
        <w:jc w:val="both"/>
        <w:divId w:val="2034067275"/>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7258AD">
      <w:pPr>
        <w:jc w:val="both"/>
        <w:divId w:val="1288321440"/>
        <w:rPr>
          <w:rFonts w:eastAsia="Times New Roman"/>
        </w:rPr>
      </w:pPr>
      <w:r>
        <w:rPr>
          <w:rFonts w:eastAsia="Times New Roman"/>
          <w:color w:val="000000"/>
          <w:sz w:val="20"/>
          <w:szCs w:val="20"/>
        </w:rPr>
        <w:t>The following table sets forth selected Condensed Consolidated Statements of Operations data as a percentage of total revenues for each of the periods indicated. Percentages may not add due to rounding</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998"/>
        <w:gridCol w:w="39"/>
        <w:gridCol w:w="125"/>
        <w:gridCol w:w="630"/>
        <w:gridCol w:w="80"/>
        <w:gridCol w:w="36"/>
        <w:gridCol w:w="36"/>
        <w:gridCol w:w="36"/>
        <w:gridCol w:w="76"/>
        <w:gridCol w:w="476"/>
        <w:gridCol w:w="185"/>
        <w:gridCol w:w="36"/>
        <w:gridCol w:w="36"/>
        <w:gridCol w:w="36"/>
        <w:gridCol w:w="125"/>
        <w:gridCol w:w="720"/>
        <w:gridCol w:w="80"/>
        <w:gridCol w:w="36"/>
        <w:gridCol w:w="36"/>
        <w:gridCol w:w="36"/>
        <w:gridCol w:w="76"/>
        <w:gridCol w:w="476"/>
        <w:gridCol w:w="185"/>
        <w:gridCol w:w="36"/>
        <w:gridCol w:w="36"/>
        <w:gridCol w:w="36"/>
        <w:gridCol w:w="125"/>
        <w:gridCol w:w="645"/>
        <w:gridCol w:w="80"/>
        <w:gridCol w:w="36"/>
        <w:gridCol w:w="36"/>
        <w:gridCol w:w="36"/>
        <w:gridCol w:w="76"/>
        <w:gridCol w:w="476"/>
        <w:gridCol w:w="185"/>
        <w:gridCol w:w="36"/>
        <w:gridCol w:w="36"/>
        <w:gridCol w:w="36"/>
        <w:gridCol w:w="125"/>
        <w:gridCol w:w="720"/>
        <w:gridCol w:w="80"/>
        <w:gridCol w:w="36"/>
        <w:gridCol w:w="36"/>
        <w:gridCol w:w="36"/>
        <w:gridCol w:w="76"/>
        <w:gridCol w:w="476"/>
        <w:gridCol w:w="186"/>
        <w:gridCol w:w="36"/>
        <w:gridCol w:w="36"/>
        <w:gridCol w:w="36"/>
        <w:gridCol w:w="36"/>
        <w:gridCol w:w="36"/>
        <w:gridCol w:w="36"/>
        <w:gridCol w:w="36"/>
        <w:gridCol w:w="36"/>
        <w:gridCol w:w="36"/>
        <w:gridCol w:w="84"/>
        <w:gridCol w:w="76"/>
        <w:gridCol w:w="71"/>
        <w:gridCol w:w="66"/>
        <w:gridCol w:w="63"/>
        <w:gridCol w:w="36"/>
      </w:tblGrid>
      <w:tr w:rsidR="00000000">
        <w:trPr>
          <w:gridAfter w:val="15"/>
          <w:divId w:val="163478125"/>
          <w:jc w:val="center"/>
        </w:trPr>
        <w:tc>
          <w:tcPr>
            <w:tcW w:w="50" w:type="pct"/>
            <w:vAlign w:val="center"/>
            <w:hideMark/>
          </w:tcPr>
          <w:p w:rsidR="00000000" w:rsidRDefault="007258AD">
            <w:pPr>
              <w:jc w:val="both"/>
              <w:rPr>
                <w:rFonts w:eastAsia="Times New Roman"/>
              </w:rPr>
            </w:pPr>
          </w:p>
        </w:tc>
        <w:tc>
          <w:tcPr>
            <w:tcW w:w="1372"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31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63478125"/>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7"/>
            <w:tcBorders>
              <w:bottom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vAlign w:val="center"/>
            <w:hideMark/>
          </w:tcPr>
          <w:p w:rsidR="00000000" w:rsidRDefault="007258AD">
            <w:pPr>
              <w:jc w:val="center"/>
              <w:rPr>
                <w:rFonts w:eastAsia="Times New Roman"/>
              </w:rPr>
            </w:pPr>
          </w:p>
        </w:tc>
      </w:tr>
      <w:tr w:rsidR="00000000">
        <w:trPr>
          <w:divId w:val="163478125"/>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jc w:val="center"/>
              <w:rPr>
                <w:rFonts w:eastAsia="Times New Roman"/>
              </w:rPr>
            </w:pPr>
          </w:p>
        </w:tc>
      </w:tr>
      <w:tr w:rsidR="00000000">
        <w:trPr>
          <w:divId w:val="163478125"/>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Dollar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Dollar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Dollar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Dollar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199,182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44,949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51,994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90,747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105,401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Selling and marketin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23,329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35,220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48,169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9,765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35,099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General and administrativ</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29,284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36,477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Investigation and audit relate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intangible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16,181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goodwil</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intangible asse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Settlement of litigation,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right-of-use and long-lived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Restructurin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expenses from operation</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91,308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103.1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369,097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193,587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493,982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from operation</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(2,742</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(272,209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(281.0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(15,493</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(294,800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(148.0</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Interest expense,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(17,702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(15,001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 income (expense),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from foreign currency transaction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(944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Loss before income taxe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(11,065</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(12.5</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(283,996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(293.1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(24,664</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(13.8</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(310,339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(155.8</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Income tax benefi</w:t>
            </w:r>
            <w:r>
              <w:rPr>
                <w:rFonts w:eastAsia="Times New Roman"/>
                <w:color w:val="000000"/>
                <w:sz w:val="18"/>
                <w:szCs w:val="18"/>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7258AD">
        <w:trPr>
          <w:divId w:val="16347812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los</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(10,401</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(11.7</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(279,533</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(288.5</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(23,585</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(307,047</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598446296"/>
        <w:rPr>
          <w:rFonts w:eastAsia="Times New Roman"/>
        </w:rPr>
      </w:pPr>
      <w:r>
        <w:rPr>
          <w:rFonts w:eastAsia="Times New Roman"/>
          <w:b/>
          <w:bCs/>
          <w:i/>
          <w:iCs/>
          <w:color w:val="000000"/>
          <w:sz w:val="20"/>
          <w:szCs w:val="20"/>
        </w:rPr>
        <w:t>Revenue</w:t>
      </w:r>
      <w:r>
        <w:rPr>
          <w:rFonts w:eastAsia="Times New Roman"/>
          <w:b/>
          <w:bCs/>
          <w:i/>
          <w:iCs/>
          <w:color w:val="000000"/>
          <w:sz w:val="20"/>
          <w:szCs w:val="20"/>
        </w:rPr>
        <w:t>s</w:t>
      </w:r>
    </w:p>
    <w:p w:rsidR="00000000" w:rsidRDefault="007258AD">
      <w:pPr>
        <w:jc w:val="both"/>
        <w:divId w:val="1160459331"/>
        <w:rPr>
          <w:rFonts w:eastAsia="Times New Roman"/>
        </w:rPr>
      </w:pPr>
      <w:r>
        <w:rPr>
          <w:rFonts w:eastAsia="Times New Roman"/>
          <w:color w:val="000000"/>
          <w:sz w:val="20"/>
          <w:szCs w:val="20"/>
        </w:rPr>
        <w:t>Our products and services are organized around solution groups that address customer needs. Accordingly, we evaluate revenue around three solution groups:</w:t>
      </w:r>
      <w:r>
        <w:rPr>
          <w:rFonts w:eastAsia="Times New Roman"/>
          <w:color w:val="000000"/>
          <w:sz w:val="20"/>
          <w:szCs w:val="20"/>
        </w:rPr>
        <w:t xml:space="preserve"> </w:t>
      </w:r>
    </w:p>
    <w:p w:rsidR="00000000" w:rsidRDefault="007258AD">
      <w:pPr>
        <w:ind w:hanging="360"/>
        <w:jc w:val="both"/>
        <w:divId w:val="52199329"/>
        <w:rPr>
          <w:rFonts w:eastAsia="Times New Roman"/>
        </w:rPr>
      </w:pPr>
      <w:r>
        <w:rPr>
          <w:rFonts w:eastAsia="Times New Roman"/>
          <w:color w:val="000000"/>
          <w:sz w:val="20"/>
          <w:szCs w:val="20"/>
        </w:rPr>
        <w:t>•</w:t>
      </w:r>
      <w:r>
        <w:rPr>
          <w:rFonts w:eastAsia="Times New Roman"/>
          <w:color w:val="000000"/>
          <w:sz w:val="20"/>
          <w:szCs w:val="20"/>
        </w:rPr>
        <w:t>Ratings and Planning provides measurement of the behavior and characteristics of audiences of conte</w:t>
      </w:r>
      <w:r>
        <w:rPr>
          <w:rFonts w:eastAsia="Times New Roman"/>
          <w:color w:val="000000"/>
          <w:sz w:val="20"/>
          <w:szCs w:val="20"/>
        </w:rPr>
        <w:t>nt and advertising across television and digital platforms including computers, tablets, smartphones, and other connected devices. These products and services are designed to help customers find the most relevant viewing audience, whether that viewing is l</w:t>
      </w:r>
      <w:r>
        <w:rPr>
          <w:rFonts w:eastAsia="Times New Roman"/>
          <w:color w:val="000000"/>
          <w:sz w:val="20"/>
          <w:szCs w:val="20"/>
        </w:rPr>
        <w:t>inear, non-linear, online or on-demand</w:t>
      </w:r>
      <w:r>
        <w:rPr>
          <w:rFonts w:eastAsia="Times New Roman"/>
          <w:color w:val="000000"/>
          <w:sz w:val="20"/>
          <w:szCs w:val="20"/>
        </w:rPr>
        <w:t>.</w:t>
      </w:r>
    </w:p>
    <w:p w:rsidR="00000000" w:rsidRDefault="007258AD">
      <w:pPr>
        <w:ind w:hanging="360"/>
        <w:jc w:val="both"/>
        <w:divId w:val="2007711493"/>
        <w:rPr>
          <w:rFonts w:eastAsia="Times New Roman"/>
        </w:rPr>
      </w:pPr>
      <w:r>
        <w:rPr>
          <w:rFonts w:eastAsia="Times New Roman"/>
          <w:color w:val="000000"/>
          <w:sz w:val="20"/>
          <w:szCs w:val="20"/>
        </w:rPr>
        <w:t>•</w:t>
      </w:r>
      <w:r>
        <w:rPr>
          <w:rFonts w:eastAsia="Times New Roman"/>
          <w:color w:val="000000"/>
          <w:sz w:val="20"/>
          <w:szCs w:val="20"/>
        </w:rPr>
        <w:t>Analytics and Optimization includes activation and survey-based products that provide end-to-end solutions for planning, optimization and evaluation of advertising campaigns and brand protection</w:t>
      </w:r>
      <w:r>
        <w:rPr>
          <w:rFonts w:eastAsia="Times New Roman"/>
          <w:color w:val="000000"/>
          <w:sz w:val="20"/>
          <w:szCs w:val="20"/>
        </w:rPr>
        <w:t>.</w:t>
      </w:r>
    </w:p>
    <w:p w:rsidR="00000000" w:rsidRDefault="007258AD">
      <w:pPr>
        <w:ind w:hanging="360"/>
        <w:jc w:val="both"/>
        <w:divId w:val="859439941"/>
        <w:rPr>
          <w:rFonts w:eastAsia="Times New Roman"/>
        </w:rPr>
      </w:pPr>
      <w:r>
        <w:rPr>
          <w:rFonts w:eastAsia="Times New Roman"/>
          <w:color w:val="000000"/>
          <w:sz w:val="20"/>
          <w:szCs w:val="20"/>
        </w:rPr>
        <w:t>•</w:t>
      </w:r>
      <w:r>
        <w:rPr>
          <w:rFonts w:eastAsia="Times New Roman"/>
          <w:color w:val="000000"/>
          <w:sz w:val="20"/>
          <w:szCs w:val="20"/>
        </w:rPr>
        <w:t>Movies Reporting a</w:t>
      </w:r>
      <w:r>
        <w:rPr>
          <w:rFonts w:eastAsia="Times New Roman"/>
          <w:color w:val="000000"/>
          <w:sz w:val="20"/>
          <w:szCs w:val="20"/>
        </w:rPr>
        <w:t>nd Analytics measures movie viewership and box office results by capturing movie ticket sales in real time or near real time and includes box office analytics, trend analysis and insights for movie studios and movie theater operators worldwide</w:t>
      </w:r>
      <w:r>
        <w:rPr>
          <w:rFonts w:eastAsia="Times New Roman"/>
          <w:color w:val="000000"/>
          <w:sz w:val="20"/>
          <w:szCs w:val="20"/>
        </w:rPr>
        <w:t>.</w:t>
      </w:r>
    </w:p>
    <w:p w:rsidR="00000000" w:rsidRDefault="007258AD">
      <w:pPr>
        <w:jc w:val="both"/>
        <w:divId w:val="29307478"/>
        <w:rPr>
          <w:rFonts w:eastAsia="Times New Roman"/>
        </w:rPr>
      </w:pPr>
      <w:r>
        <w:rPr>
          <w:rFonts w:eastAsia="Times New Roman"/>
          <w:color w:val="000000"/>
          <w:sz w:val="20"/>
          <w:szCs w:val="20"/>
        </w:rPr>
        <w:t>We categori</w:t>
      </w:r>
      <w:r>
        <w:rPr>
          <w:rFonts w:eastAsia="Times New Roman"/>
          <w:color w:val="000000"/>
          <w:sz w:val="20"/>
          <w:szCs w:val="20"/>
        </w:rPr>
        <w:t>ze our revenue along these three offerings; however, our cost structure is tracked at the corporate level and not by our solution groups. These costs include, but are not limited to, employee costs, costs to acquire data, operational overhead, data centers</w:t>
      </w:r>
      <w:r>
        <w:rPr>
          <w:rFonts w:eastAsia="Times New Roman"/>
          <w:color w:val="000000"/>
          <w:sz w:val="20"/>
          <w:szCs w:val="20"/>
        </w:rPr>
        <w:t>, and our technology that supports multiple solution groups</w:t>
      </w:r>
      <w:r>
        <w:rPr>
          <w:rFonts w:eastAsia="Times New Roman"/>
          <w:color w:val="000000"/>
          <w:sz w:val="20"/>
          <w:szCs w:val="20"/>
        </w:rPr>
        <w:t>.</w:t>
      </w:r>
    </w:p>
    <w:p w:rsidR="00000000" w:rsidRDefault="007258AD">
      <w:pPr>
        <w:jc w:val="center"/>
        <w:divId w:val="583225183"/>
        <w:rPr>
          <w:rFonts w:eastAsia="Times New Roman"/>
        </w:rPr>
      </w:pPr>
      <w:r>
        <w:rPr>
          <w:rFonts w:eastAsia="Times New Roman"/>
          <w:color w:val="000000"/>
          <w:sz w:val="20"/>
          <w:szCs w:val="20"/>
        </w:rPr>
        <w:t>2</w:t>
      </w:r>
      <w:r>
        <w:rPr>
          <w:rFonts w:eastAsia="Times New Roman"/>
          <w:color w:val="000000"/>
          <w:sz w:val="20"/>
          <w:szCs w:val="20"/>
        </w:rPr>
        <w:t>2</w:t>
      </w:r>
    </w:p>
    <w:p w:rsidR="00000000" w:rsidRDefault="007258AD">
      <w:pPr>
        <w:rPr>
          <w:rFonts w:eastAsia="Times New Roman"/>
        </w:rPr>
      </w:pPr>
      <w:r>
        <w:rPr>
          <w:rFonts w:eastAsia="Times New Roman"/>
        </w:rPr>
        <w:pict>
          <v:rect id="_x0000_i1049" style="width:0;height:1.5pt" o:hralign="center" o:hrstd="t" o:hr="t" fillcolor="#a0a0a0" stroked="f"/>
        </w:pict>
      </w:r>
    </w:p>
    <w:p w:rsidR="00000000" w:rsidRDefault="007258AD">
      <w:pPr>
        <w:jc w:val="both"/>
        <w:divId w:val="433791043"/>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433791043"/>
        <w:rPr>
          <w:rFonts w:eastAsia="Times New Roman"/>
        </w:rPr>
      </w:pPr>
    </w:p>
    <w:p w:rsidR="00000000" w:rsidRDefault="007258AD">
      <w:pPr>
        <w:jc w:val="both"/>
        <w:divId w:val="1050493953"/>
        <w:rPr>
          <w:rFonts w:eastAsia="Times New Roman"/>
        </w:rPr>
      </w:pPr>
      <w:r>
        <w:rPr>
          <w:rFonts w:eastAsia="Times New Roman"/>
          <w:color w:val="000000"/>
          <w:sz w:val="20"/>
          <w:szCs w:val="20"/>
        </w:rPr>
        <w:t xml:space="preserve">Revenues from these three solution groups for the three months ended June 30, </w:t>
      </w:r>
      <w:r>
        <w:rPr>
          <w:rFonts w:eastAsia="Times New Roman"/>
          <w:color w:val="000000"/>
          <w:sz w:val="20"/>
          <w:szCs w:val="20"/>
        </w:rPr>
        <w:t>2020 and 2019 were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395"/>
        <w:gridCol w:w="37"/>
        <w:gridCol w:w="125"/>
        <w:gridCol w:w="555"/>
        <w:gridCol w:w="80"/>
        <w:gridCol w:w="36"/>
        <w:gridCol w:w="36"/>
        <w:gridCol w:w="36"/>
        <w:gridCol w:w="61"/>
        <w:gridCol w:w="506"/>
        <w:gridCol w:w="185"/>
        <w:gridCol w:w="36"/>
        <w:gridCol w:w="36"/>
        <w:gridCol w:w="36"/>
        <w:gridCol w:w="125"/>
        <w:gridCol w:w="555"/>
        <w:gridCol w:w="80"/>
        <w:gridCol w:w="36"/>
        <w:gridCol w:w="36"/>
        <w:gridCol w:w="36"/>
        <w:gridCol w:w="61"/>
        <w:gridCol w:w="507"/>
        <w:gridCol w:w="185"/>
        <w:gridCol w:w="36"/>
        <w:gridCol w:w="36"/>
        <w:gridCol w:w="36"/>
        <w:gridCol w:w="126"/>
        <w:gridCol w:w="632"/>
        <w:gridCol w:w="80"/>
        <w:gridCol w:w="36"/>
        <w:gridCol w:w="36"/>
        <w:gridCol w:w="36"/>
        <w:gridCol w:w="64"/>
        <w:gridCol w:w="536"/>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565261736"/>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565261736"/>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565261736"/>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Varianc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Varianc</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565261736"/>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97412412"/>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63,779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68,922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(5,143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565261736"/>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416592578"/>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17,293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565261736"/>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Movies Reporting and Analytic</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10,673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(2,780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565261736"/>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96,888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(8,322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(8.6</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995335493"/>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In the second quarter of 2020, we began classifying revenue from certain new and extended custom agreements for services that utilize our syndicated data set, previously classified under Analytics and Optimization, as Ratings and Planning. The impact was n</w:t>
      </w:r>
      <w:r>
        <w:rPr>
          <w:rFonts w:eastAsia="Times New Roman"/>
          <w:i/>
          <w:iCs/>
          <w:color w:val="000000"/>
          <w:sz w:val="16"/>
          <w:szCs w:val="16"/>
        </w:rPr>
        <w:t>ot material to either solution group</w:t>
      </w:r>
      <w:r>
        <w:rPr>
          <w:rFonts w:eastAsia="Times New Roman"/>
          <w:i/>
          <w:iCs/>
          <w:color w:val="000000"/>
          <w:sz w:val="16"/>
          <w:szCs w:val="16"/>
        </w:rPr>
        <w:t>.</w:t>
      </w:r>
    </w:p>
    <w:p w:rsidR="00000000" w:rsidRDefault="007258AD">
      <w:pPr>
        <w:jc w:val="both"/>
        <w:divId w:val="1571647852"/>
        <w:rPr>
          <w:rFonts w:eastAsia="Times New Roman"/>
        </w:rPr>
      </w:pPr>
      <w:r>
        <w:rPr>
          <w:rFonts w:eastAsia="Times New Roman"/>
          <w:color w:val="000000"/>
          <w:sz w:val="20"/>
          <w:szCs w:val="20"/>
        </w:rPr>
        <w:t>Revenues decreased by $8.3 million, or 8.6%, for the three months ended June 30, 2020 as compared to the three months ended June 30, 2019.</w:t>
      </w:r>
      <w:r>
        <w:rPr>
          <w:rFonts w:eastAsia="Times New Roman"/>
          <w:color w:val="000000"/>
          <w:sz w:val="20"/>
          <w:szCs w:val="20"/>
        </w:rPr>
        <w:t xml:space="preserve"> </w:t>
      </w:r>
    </w:p>
    <w:p w:rsidR="00000000" w:rsidRDefault="007258AD">
      <w:pPr>
        <w:jc w:val="both"/>
        <w:divId w:val="1999921357"/>
        <w:rPr>
          <w:rFonts w:eastAsia="Times New Roman"/>
        </w:rPr>
      </w:pPr>
      <w:r>
        <w:rPr>
          <w:rFonts w:eastAsia="Times New Roman"/>
          <w:color w:val="000000"/>
          <w:sz w:val="20"/>
          <w:szCs w:val="20"/>
        </w:rPr>
        <w:t>Ratings and Planning revenue is comprised of revenue from our digital, televis</w:t>
      </w:r>
      <w:r>
        <w:rPr>
          <w:rFonts w:eastAsia="Times New Roman"/>
          <w:color w:val="000000"/>
          <w:sz w:val="20"/>
          <w:szCs w:val="20"/>
        </w:rPr>
        <w:t>ion and cross-platform products. Ratings and Planning revenue decreased $5.1 million in the three months ended June 30, 2020 as compared to the three months ended June 30, 2019. The decrease was largely driven by lower revenue from our syndicated digital p</w:t>
      </w:r>
      <w:r>
        <w:rPr>
          <w:rFonts w:eastAsia="Times New Roman"/>
          <w:color w:val="000000"/>
          <w:sz w:val="20"/>
          <w:szCs w:val="20"/>
        </w:rPr>
        <w:t>roducts due in part to the COVID-19 pandemic. While retention of syndicated digital enterprise customers remained high, revenue from our syndicated digital products represented 48% and 50% of our Ratings and Planning revenue in the second quarter of 2020 a</w:t>
      </w:r>
      <w:r>
        <w:rPr>
          <w:rFonts w:eastAsia="Times New Roman"/>
          <w:color w:val="000000"/>
          <w:sz w:val="20"/>
          <w:szCs w:val="20"/>
        </w:rPr>
        <w:t>nd 2019, respectively. TV revenues were higher due in part to our new partnership with LiveRamp, additional deliveries of addressable TV solutions, and the impact of new Local TV business entered into in 2019. Cross-platform revenues were lower due to fewe</w:t>
      </w:r>
      <w:r>
        <w:rPr>
          <w:rFonts w:eastAsia="Times New Roman"/>
          <w:color w:val="000000"/>
          <w:sz w:val="20"/>
          <w:szCs w:val="20"/>
        </w:rPr>
        <w:t>r customer deliveries</w:t>
      </w:r>
      <w:r>
        <w:rPr>
          <w:rFonts w:eastAsia="Times New Roman"/>
          <w:color w:val="000000"/>
          <w:sz w:val="20"/>
          <w:szCs w:val="20"/>
        </w:rPr>
        <w:t>.</w:t>
      </w:r>
    </w:p>
    <w:p w:rsidR="00000000" w:rsidRDefault="007258AD">
      <w:pPr>
        <w:jc w:val="both"/>
        <w:divId w:val="788668657"/>
        <w:rPr>
          <w:rFonts w:eastAsia="Times New Roman"/>
        </w:rPr>
      </w:pPr>
      <w:r>
        <w:rPr>
          <w:rFonts w:eastAsia="Times New Roman"/>
          <w:color w:val="000000"/>
          <w:sz w:val="20"/>
          <w:szCs w:val="20"/>
        </w:rPr>
        <w:t>Analytics and Optimization revenue decreased by $0.4 million in the three months ended June 30, 2020 as compared to the three months ended June 30, 2019. The decrease was primarily due to a decline in activation usage and fewer deliv</w:t>
      </w:r>
      <w:r>
        <w:rPr>
          <w:rFonts w:eastAsia="Times New Roman"/>
          <w:color w:val="000000"/>
          <w:sz w:val="20"/>
          <w:szCs w:val="20"/>
        </w:rPr>
        <w:t xml:space="preserve">eries of lift and survey products, due in part to the COVID-19 pandemic, during the second quarter of 2020. The decline was partially offset by approximately $1.0 million in revenue from a one-time recovery of revenue-sharing fees pertaining to one of our </w:t>
      </w:r>
      <w:r>
        <w:rPr>
          <w:rFonts w:eastAsia="Times New Roman"/>
          <w:color w:val="000000"/>
          <w:sz w:val="20"/>
          <w:szCs w:val="20"/>
        </w:rPr>
        <w:t>lift products</w:t>
      </w:r>
      <w:r>
        <w:rPr>
          <w:rFonts w:eastAsia="Times New Roman"/>
          <w:color w:val="000000"/>
          <w:sz w:val="20"/>
          <w:szCs w:val="20"/>
        </w:rPr>
        <w:t>.</w:t>
      </w:r>
    </w:p>
    <w:p w:rsidR="00000000" w:rsidRDefault="007258AD">
      <w:pPr>
        <w:jc w:val="both"/>
        <w:divId w:val="1098058017"/>
        <w:rPr>
          <w:rFonts w:eastAsia="Times New Roman"/>
        </w:rPr>
      </w:pPr>
      <w:r>
        <w:rPr>
          <w:rFonts w:eastAsia="Times New Roman"/>
          <w:color w:val="000000"/>
          <w:sz w:val="20"/>
          <w:szCs w:val="20"/>
        </w:rPr>
        <w:t>Movies Reporting and Analytics revenue decreased by $2.8 million in the three months ended June 30, 2020 as compared to the three months ended June 30, 2019. Revenue was impacted by some smaller customers under short-term contracts pausing s</w:t>
      </w:r>
      <w:r>
        <w:rPr>
          <w:rFonts w:eastAsia="Times New Roman"/>
          <w:color w:val="000000"/>
          <w:sz w:val="20"/>
          <w:szCs w:val="20"/>
        </w:rPr>
        <w:t>ervice in connection with theater closures. We expect theater closures to continue affecting movies revenue for the foreseeable future. During the quarter ended June 30, 2020, we signed or renewed contracts with eight significant customers, including three</w:t>
      </w:r>
      <w:r>
        <w:rPr>
          <w:rFonts w:eastAsia="Times New Roman"/>
          <w:color w:val="000000"/>
          <w:sz w:val="20"/>
          <w:szCs w:val="20"/>
        </w:rPr>
        <w:t xml:space="preserve"> major domestic studios and one international studio. However, the uncertainty around theater re-openings delayed the renewals of several customers</w:t>
      </w:r>
      <w:r>
        <w:rPr>
          <w:rFonts w:eastAsia="Times New Roman"/>
          <w:color w:val="000000"/>
          <w:sz w:val="20"/>
          <w:szCs w:val="20"/>
        </w:rPr>
        <w:t>.</w:t>
      </w:r>
    </w:p>
    <w:p w:rsidR="00000000" w:rsidRDefault="007258AD">
      <w:pPr>
        <w:jc w:val="both"/>
        <w:divId w:val="1137453958"/>
        <w:rPr>
          <w:rFonts w:eastAsia="Times New Roman"/>
        </w:rPr>
      </w:pPr>
      <w:r>
        <w:rPr>
          <w:rFonts w:eastAsia="Times New Roman"/>
          <w:color w:val="000000"/>
          <w:sz w:val="20"/>
          <w:szCs w:val="20"/>
        </w:rPr>
        <w:t>Revenues for these three solution groups for the six months ended June 30, 2020 and 2019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219"/>
        <w:gridCol w:w="37"/>
        <w:gridCol w:w="125"/>
        <w:gridCol w:w="645"/>
        <w:gridCol w:w="80"/>
        <w:gridCol w:w="36"/>
        <w:gridCol w:w="36"/>
        <w:gridCol w:w="36"/>
        <w:gridCol w:w="61"/>
        <w:gridCol w:w="506"/>
        <w:gridCol w:w="185"/>
        <w:gridCol w:w="36"/>
        <w:gridCol w:w="36"/>
        <w:gridCol w:w="36"/>
        <w:gridCol w:w="125"/>
        <w:gridCol w:w="645"/>
        <w:gridCol w:w="80"/>
        <w:gridCol w:w="36"/>
        <w:gridCol w:w="36"/>
        <w:gridCol w:w="36"/>
        <w:gridCol w:w="61"/>
        <w:gridCol w:w="506"/>
        <w:gridCol w:w="185"/>
        <w:gridCol w:w="36"/>
        <w:gridCol w:w="36"/>
        <w:gridCol w:w="36"/>
        <w:gridCol w:w="125"/>
        <w:gridCol w:w="630"/>
        <w:gridCol w:w="80"/>
        <w:gridCol w:w="36"/>
        <w:gridCol w:w="36"/>
        <w:gridCol w:w="36"/>
        <w:gridCol w:w="64"/>
        <w:gridCol w:w="536"/>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300774553"/>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300774553"/>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300774553"/>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Varianc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Varianc</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00774553"/>
        </w:trPr>
        <w:tc>
          <w:tcPr>
            <w:tcW w:w="0" w:type="auto"/>
            <w:gridSpan w:val="3"/>
            <w:shd w:val="clear" w:color="auto" w:fill="CCEEFF"/>
            <w:tcMar>
              <w:top w:w="30" w:type="dxa"/>
              <w:left w:w="20" w:type="dxa"/>
              <w:bottom w:w="30" w:type="dxa"/>
              <w:right w:w="20" w:type="dxa"/>
            </w:tcMar>
            <w:vAlign w:val="bottom"/>
            <w:hideMark/>
          </w:tcPr>
          <w:p w:rsidR="00000000" w:rsidRDefault="007258AD">
            <w:pPr>
              <w:divId w:val="1044673349"/>
              <w:rPr>
                <w:rFonts w:eastAsia="Times New Roman"/>
              </w:rPr>
            </w:pPr>
            <w:r>
              <w:rPr>
                <w:rFonts w:eastAsia="Times New Roman"/>
                <w:color w:val="000000"/>
                <w:sz w:val="18"/>
                <w:szCs w:val="18"/>
              </w:rPr>
              <w:t>Ratings and Planning</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127,300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139,499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(12,199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00774553"/>
        </w:trPr>
        <w:tc>
          <w:tcPr>
            <w:tcW w:w="0" w:type="auto"/>
            <w:gridSpan w:val="3"/>
            <w:shd w:val="clear" w:color="auto" w:fill="FFFFFF"/>
            <w:tcMar>
              <w:top w:w="30" w:type="dxa"/>
              <w:left w:w="20" w:type="dxa"/>
              <w:bottom w:w="30" w:type="dxa"/>
              <w:right w:w="20" w:type="dxa"/>
            </w:tcMar>
            <w:vAlign w:val="bottom"/>
            <w:hideMark/>
          </w:tcPr>
          <w:p w:rsidR="00000000" w:rsidRDefault="007258AD">
            <w:pPr>
              <w:divId w:val="1392734193"/>
              <w:rPr>
                <w:rFonts w:eastAsia="Times New Roman"/>
              </w:rPr>
            </w:pPr>
            <w:r>
              <w:rPr>
                <w:rFonts w:eastAsia="Times New Roman"/>
                <w:color w:val="000000"/>
                <w:sz w:val="18"/>
                <w:szCs w:val="18"/>
              </w:rPr>
              <w:t>Analytics and Optimization</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32,395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38,751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(6,356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00774553"/>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Movies Reporting and Analytic</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18,399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20,932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(2,533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300774553"/>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178,094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199,182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(21,088</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(10.6</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228222175"/>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In the second quarter of 2020, we began classifying revenue from certain new and extended custom agreements for services that utilize our syndicated data set, previously</w:t>
      </w:r>
      <w:r>
        <w:rPr>
          <w:rFonts w:eastAsia="Times New Roman"/>
          <w:i/>
          <w:iCs/>
          <w:color w:val="000000"/>
          <w:sz w:val="16"/>
          <w:szCs w:val="16"/>
        </w:rPr>
        <w:t xml:space="preserve"> classified under Analytics and Optimization, as Ratings and Planning. The impact was not material to either solution group</w:t>
      </w:r>
      <w:r>
        <w:rPr>
          <w:rFonts w:eastAsia="Times New Roman"/>
          <w:i/>
          <w:iCs/>
          <w:color w:val="000000"/>
          <w:sz w:val="16"/>
          <w:szCs w:val="16"/>
        </w:rPr>
        <w:t>.</w:t>
      </w:r>
    </w:p>
    <w:p w:rsidR="00000000" w:rsidRDefault="007258AD">
      <w:pPr>
        <w:jc w:val="both"/>
        <w:divId w:val="928654989"/>
        <w:rPr>
          <w:rFonts w:eastAsia="Times New Roman"/>
        </w:rPr>
      </w:pPr>
      <w:r>
        <w:rPr>
          <w:rFonts w:eastAsia="Times New Roman"/>
          <w:color w:val="000000"/>
          <w:sz w:val="20"/>
          <w:szCs w:val="20"/>
        </w:rPr>
        <w:t>Revenues decreased by $21.1 million, or 10.6%, for the six months ended June 30, 2020 as compared to the six months ended June 30, 2019.</w:t>
      </w:r>
      <w:r>
        <w:rPr>
          <w:rFonts w:eastAsia="Times New Roman"/>
          <w:color w:val="000000"/>
          <w:sz w:val="20"/>
          <w:szCs w:val="20"/>
        </w:rPr>
        <w:t xml:space="preserve"> </w:t>
      </w:r>
    </w:p>
    <w:p w:rsidR="00000000" w:rsidRDefault="007258AD">
      <w:pPr>
        <w:jc w:val="both"/>
        <w:divId w:val="2092703031"/>
        <w:rPr>
          <w:rFonts w:eastAsia="Times New Roman"/>
        </w:rPr>
      </w:pPr>
      <w:r>
        <w:rPr>
          <w:rFonts w:eastAsia="Times New Roman"/>
          <w:color w:val="000000"/>
          <w:sz w:val="20"/>
          <w:szCs w:val="20"/>
        </w:rPr>
        <w:t>Ratings and Planning revenue decreased by $12.2 million in the six months ended June 30, 2020 as compared to the six m</w:t>
      </w:r>
      <w:r>
        <w:rPr>
          <w:rFonts w:eastAsia="Times New Roman"/>
          <w:color w:val="000000"/>
          <w:sz w:val="20"/>
          <w:szCs w:val="20"/>
        </w:rPr>
        <w:t>onths ended June 30, 2019. The decrease was largely driven by lower revenue from our syndicated digital products due in part to the COVID-19 pandemic. While retention of syndicated digital enterprise customers remained high, revenue from our syndicated dig</w:t>
      </w:r>
      <w:r>
        <w:rPr>
          <w:rFonts w:eastAsia="Times New Roman"/>
          <w:color w:val="000000"/>
          <w:sz w:val="20"/>
          <w:szCs w:val="20"/>
        </w:rPr>
        <w:t>ital products represented 49% and 51% of our Ratings and Planning revenue for the six months ended June 30, 2020 and 2019, respectively. TV revenues were lower as a result of the effects of consolidation of certain customers. The decrease was partially off</w:t>
      </w:r>
      <w:r>
        <w:rPr>
          <w:rFonts w:eastAsia="Times New Roman"/>
          <w:color w:val="000000"/>
          <w:sz w:val="20"/>
          <w:szCs w:val="20"/>
        </w:rPr>
        <w:t>set by increases from our new partnership with LiveRamp, additional deliveries of addressable TV solutions, and the impact of new Local TV business entered into in 2019. Cross-platform revenues were lower due to fewer customer deliveries</w:t>
      </w:r>
      <w:r>
        <w:rPr>
          <w:rFonts w:eastAsia="Times New Roman"/>
          <w:color w:val="000000"/>
          <w:sz w:val="20"/>
          <w:szCs w:val="20"/>
        </w:rPr>
        <w:t>.</w:t>
      </w:r>
    </w:p>
    <w:p w:rsidR="00000000" w:rsidRDefault="007258AD">
      <w:pPr>
        <w:jc w:val="both"/>
        <w:divId w:val="1460799155"/>
        <w:rPr>
          <w:rFonts w:eastAsia="Times New Roman"/>
        </w:rPr>
      </w:pPr>
      <w:r>
        <w:rPr>
          <w:rFonts w:eastAsia="Times New Roman"/>
          <w:color w:val="000000"/>
          <w:sz w:val="20"/>
          <w:szCs w:val="20"/>
        </w:rPr>
        <w:t>Analytics and Opt</w:t>
      </w:r>
      <w:r>
        <w:rPr>
          <w:rFonts w:eastAsia="Times New Roman"/>
          <w:color w:val="000000"/>
          <w:sz w:val="20"/>
          <w:szCs w:val="20"/>
        </w:rPr>
        <w:t xml:space="preserve">imization revenue decreased by $6.4 million in the six months ended June 30, 2020 as compared to the six months ended June 30, 2019, due to lower sales and deliveries across all products in this solution group, due in part to the COVID-19 pandemic, in the </w:t>
      </w:r>
      <w:r>
        <w:rPr>
          <w:rFonts w:eastAsia="Times New Roman"/>
          <w:color w:val="000000"/>
          <w:sz w:val="20"/>
          <w:szCs w:val="20"/>
        </w:rPr>
        <w:t>first six months of 2020. These declines were partially offset by approximately $1.0 million in revenue from a one-time recovery of revenue-sharing fees pertaining to one of our lift products</w:t>
      </w:r>
      <w:r>
        <w:rPr>
          <w:rFonts w:eastAsia="Times New Roman"/>
          <w:color w:val="000000"/>
          <w:sz w:val="20"/>
          <w:szCs w:val="20"/>
        </w:rPr>
        <w:t>.</w:t>
      </w:r>
    </w:p>
    <w:p w:rsidR="00000000" w:rsidRDefault="007258AD">
      <w:pPr>
        <w:jc w:val="both"/>
        <w:divId w:val="2072192116"/>
        <w:rPr>
          <w:rFonts w:eastAsia="Times New Roman"/>
        </w:rPr>
      </w:pPr>
      <w:r>
        <w:rPr>
          <w:rFonts w:eastAsia="Times New Roman"/>
          <w:color w:val="000000"/>
          <w:sz w:val="20"/>
          <w:szCs w:val="20"/>
        </w:rPr>
        <w:t>Movies Reporting and Analytics revenue decreased by $2.5 millio</w:t>
      </w:r>
      <w:r>
        <w:rPr>
          <w:rFonts w:eastAsia="Times New Roman"/>
          <w:color w:val="000000"/>
          <w:sz w:val="20"/>
          <w:szCs w:val="20"/>
        </w:rPr>
        <w:t>n in the six months ended June 30, 2020 as compared to the six months ended June 30, 2019. Revenue was impacted by some smaller customers under short-term contracts pausing service in connection with theater closures. We expect theater closures to continue</w:t>
      </w:r>
      <w:r>
        <w:rPr>
          <w:rFonts w:eastAsia="Times New Roman"/>
          <w:color w:val="000000"/>
          <w:sz w:val="20"/>
          <w:szCs w:val="20"/>
        </w:rPr>
        <w:t xml:space="preserve"> affecting movies revenue for the foreseeable future. During the quarter ended June 30, 2020, we signed or renewed contracts with eight significant customers, including three major domestic studios and one international studio. However, the uncertainty aro</w:t>
      </w:r>
      <w:r>
        <w:rPr>
          <w:rFonts w:eastAsia="Times New Roman"/>
          <w:color w:val="000000"/>
          <w:sz w:val="20"/>
          <w:szCs w:val="20"/>
        </w:rPr>
        <w:t>und theater re-openings delayed the renewals of several customers</w:t>
      </w:r>
      <w:r>
        <w:rPr>
          <w:rFonts w:eastAsia="Times New Roman"/>
          <w:color w:val="000000"/>
          <w:sz w:val="20"/>
          <w:szCs w:val="20"/>
        </w:rPr>
        <w:t>.</w:t>
      </w:r>
    </w:p>
    <w:p w:rsidR="00000000" w:rsidRDefault="007258AD">
      <w:pPr>
        <w:jc w:val="center"/>
        <w:divId w:val="404108347"/>
        <w:rPr>
          <w:rFonts w:eastAsia="Times New Roman"/>
        </w:rPr>
      </w:pPr>
      <w:r>
        <w:rPr>
          <w:rFonts w:eastAsia="Times New Roman"/>
          <w:color w:val="000000"/>
          <w:sz w:val="20"/>
          <w:szCs w:val="20"/>
        </w:rPr>
        <w:t>2</w:t>
      </w:r>
      <w:r>
        <w:rPr>
          <w:rFonts w:eastAsia="Times New Roman"/>
          <w:color w:val="000000"/>
          <w:sz w:val="20"/>
          <w:szCs w:val="20"/>
        </w:rPr>
        <w:t>3</w:t>
      </w:r>
    </w:p>
    <w:p w:rsidR="00000000" w:rsidRDefault="007258AD">
      <w:pPr>
        <w:rPr>
          <w:rFonts w:eastAsia="Times New Roman"/>
        </w:rPr>
      </w:pPr>
      <w:r>
        <w:rPr>
          <w:rFonts w:eastAsia="Times New Roman"/>
        </w:rPr>
        <w:pict>
          <v:rect id="_x0000_i1050" style="width:0;height:1.5pt" o:hralign="center" o:hrstd="t" o:hr="t" fillcolor="#a0a0a0" stroked="f"/>
        </w:pict>
      </w:r>
    </w:p>
    <w:p w:rsidR="00000000" w:rsidRDefault="007258AD">
      <w:pPr>
        <w:jc w:val="both"/>
        <w:divId w:val="59220834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592208346"/>
        <w:rPr>
          <w:rFonts w:eastAsia="Times New Roman"/>
        </w:rPr>
      </w:pPr>
    </w:p>
    <w:p w:rsidR="00000000" w:rsidRDefault="007258AD">
      <w:pPr>
        <w:jc w:val="both"/>
        <w:divId w:val="332074191"/>
        <w:rPr>
          <w:rFonts w:eastAsia="Times New Roman"/>
        </w:rPr>
      </w:pPr>
      <w:r>
        <w:rPr>
          <w:rFonts w:eastAsia="Times New Roman"/>
          <w:b/>
          <w:bCs/>
          <w:i/>
          <w:iCs/>
          <w:color w:val="000000"/>
          <w:sz w:val="20"/>
          <w:szCs w:val="20"/>
        </w:rPr>
        <w:t>Cost of Revenue</w:t>
      </w:r>
      <w:r>
        <w:rPr>
          <w:rFonts w:eastAsia="Times New Roman"/>
          <w:b/>
          <w:bCs/>
          <w:i/>
          <w:iCs/>
          <w:color w:val="000000"/>
          <w:sz w:val="20"/>
          <w:szCs w:val="20"/>
        </w:rPr>
        <w:t>s</w:t>
      </w:r>
    </w:p>
    <w:p w:rsidR="00000000" w:rsidRDefault="007258AD">
      <w:pPr>
        <w:jc w:val="both"/>
        <w:divId w:val="1538469377"/>
        <w:rPr>
          <w:rFonts w:eastAsia="Times New Roman"/>
        </w:rPr>
      </w:pPr>
      <w:r>
        <w:rPr>
          <w:rFonts w:eastAsia="Times New Roman"/>
          <w:color w:val="000000"/>
          <w:sz w:val="20"/>
          <w:szCs w:val="20"/>
        </w:rPr>
        <w:t xml:space="preserve">Cost of revenues consists primarily of expenses related to producing our products, operating our network infrastructure, the recruitment, maintenance and support of our consumer panels and amortization of capitalized fulfillment costs. Expenses associated </w:t>
      </w:r>
      <w:r>
        <w:rPr>
          <w:rFonts w:eastAsia="Times New Roman"/>
          <w:color w:val="000000"/>
          <w:sz w:val="20"/>
          <w:szCs w:val="20"/>
        </w:rPr>
        <w:t>with these areas include employee costs including salaries, benefits, stock-based compensation and other related personnel costs of network operations, survey operations, custom analytics and technical support, all of which are expensed as they are incurre</w:t>
      </w:r>
      <w:r>
        <w:rPr>
          <w:rFonts w:eastAsia="Times New Roman"/>
          <w:color w:val="000000"/>
          <w:sz w:val="20"/>
          <w:szCs w:val="20"/>
        </w:rPr>
        <w:t>d. Cost of revenues also includes costs to obtain multichannel video programming distributor ("MVPD") data sets and panel, census based and other data sets used in our products as well as operational costs associated with our data centers, including deprec</w:t>
      </w:r>
      <w:r>
        <w:rPr>
          <w:rFonts w:eastAsia="Times New Roman"/>
          <w:color w:val="000000"/>
          <w:sz w:val="20"/>
          <w:szCs w:val="20"/>
        </w:rPr>
        <w:t>iation expense associated with computer equipment and internally developed software that supports our panels and systems. Additionally, cost of revenues includes allocated overhead, lease expense and other facilities-related costs</w:t>
      </w:r>
      <w:r>
        <w:rPr>
          <w:rFonts w:eastAsia="Times New Roman"/>
          <w:color w:val="000000"/>
          <w:sz w:val="20"/>
          <w:szCs w:val="20"/>
        </w:rPr>
        <w:t>.</w:t>
      </w:r>
    </w:p>
    <w:p w:rsidR="00000000" w:rsidRDefault="007258AD">
      <w:pPr>
        <w:jc w:val="both"/>
        <w:divId w:val="2087418271"/>
        <w:rPr>
          <w:rFonts w:eastAsia="Times New Roman"/>
        </w:rPr>
      </w:pPr>
      <w:r>
        <w:rPr>
          <w:rFonts w:eastAsia="Times New Roman"/>
          <w:color w:val="000000"/>
          <w:sz w:val="20"/>
          <w:szCs w:val="20"/>
        </w:rPr>
        <w:t>Cost of revenues for the</w:t>
      </w:r>
      <w:r>
        <w:rPr>
          <w:rFonts w:eastAsia="Times New Roman"/>
          <w:color w:val="000000"/>
          <w:sz w:val="20"/>
          <w:szCs w:val="20"/>
        </w:rPr>
        <w:t xml:space="preserve"> three months ended June 30, 2020 and 2019 were as follows: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2334"/>
        <w:gridCol w:w="39"/>
        <w:gridCol w:w="125"/>
        <w:gridCol w:w="555"/>
        <w:gridCol w:w="80"/>
        <w:gridCol w:w="36"/>
        <w:gridCol w:w="36"/>
        <w:gridCol w:w="36"/>
        <w:gridCol w:w="61"/>
        <w:gridCol w:w="506"/>
        <w:gridCol w:w="185"/>
        <w:gridCol w:w="36"/>
        <w:gridCol w:w="36"/>
        <w:gridCol w:w="36"/>
        <w:gridCol w:w="125"/>
        <w:gridCol w:w="555"/>
        <w:gridCol w:w="80"/>
        <w:gridCol w:w="36"/>
        <w:gridCol w:w="36"/>
        <w:gridCol w:w="36"/>
        <w:gridCol w:w="61"/>
        <w:gridCol w:w="506"/>
        <w:gridCol w:w="185"/>
        <w:gridCol w:w="36"/>
        <w:gridCol w:w="36"/>
        <w:gridCol w:w="36"/>
        <w:gridCol w:w="125"/>
        <w:gridCol w:w="540"/>
        <w:gridCol w:w="80"/>
        <w:gridCol w:w="36"/>
        <w:gridCol w:w="36"/>
        <w:gridCol w:w="36"/>
        <w:gridCol w:w="55"/>
        <w:gridCol w:w="480"/>
        <w:gridCol w:w="1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794253772"/>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24"/>
          <w:divId w:val="794253772"/>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94253772"/>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r>
              <w:rPr>
                <w:rFonts w:eastAsia="Times New Roman"/>
                <w:b/>
                <w:bCs/>
                <w:color w:val="000000"/>
                <w:sz w:val="10"/>
                <w:szCs w:val="10"/>
                <w:vertAlign w:val="superscript"/>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Data cost</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15,459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16,737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(1,278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9,862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14,137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(4,275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Systems and bandwidth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6,034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5,495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Panel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Sample and survey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747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(1,173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Royalties and reseller</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1,233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794253772"/>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cost of revenue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44,949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51,994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(7,045</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(13.5</w:t>
            </w:r>
            <w:r>
              <w:rPr>
                <w:rFonts w:eastAsia="Times New Roman"/>
                <w:color w:val="000000"/>
                <w:sz w:val="18"/>
                <w:szCs w:val="18"/>
              </w:rPr>
              <w:t>)</w:t>
            </w:r>
          </w:p>
        </w:tc>
        <w:tc>
          <w:tcPr>
            <w:tcW w:w="0" w:type="auto"/>
            <w:shd w:val="clear" w:color="auto" w:fill="CCEE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217204380"/>
        <w:rPr>
          <w:rFonts w:eastAsia="Times New Roman"/>
        </w:rPr>
      </w:pPr>
      <w:r>
        <w:rPr>
          <w:rFonts w:eastAsia="Times New Roman"/>
          <w:color w:val="000000"/>
          <w:sz w:val="20"/>
          <w:szCs w:val="20"/>
        </w:rPr>
        <w:t>Cost of revenues decreased $7.0 million, or 13.5%, for the three months ended June 30, 2020 as compared to the three months end</w:t>
      </w:r>
      <w:r>
        <w:rPr>
          <w:rFonts w:eastAsia="Times New Roman"/>
          <w:color w:val="000000"/>
          <w:sz w:val="20"/>
          <w:szCs w:val="20"/>
        </w:rPr>
        <w:t>ed June 30, 2019. Employee costs decreased $4.3 million primarily due to a reduction in headcount. Data costs decreased by $1.3 million primarily due to reclassification of costs to systems and bandwidth to better reflect the nature of services provided. P</w:t>
      </w:r>
      <w:r>
        <w:rPr>
          <w:rFonts w:eastAsia="Times New Roman"/>
          <w:color w:val="000000"/>
          <w:sz w:val="20"/>
          <w:szCs w:val="20"/>
        </w:rPr>
        <w:t>rofessional fees decreased $1.2 million primarily due to a decrease in consulting services.</w:t>
      </w:r>
      <w:r>
        <w:rPr>
          <w:rFonts w:eastAsia="Times New Roman"/>
          <w:color w:val="000000"/>
          <w:sz w:val="20"/>
          <w:szCs w:val="20"/>
        </w:rPr>
        <w:t xml:space="preserve"> </w:t>
      </w:r>
    </w:p>
    <w:p w:rsidR="00000000" w:rsidRDefault="007258AD">
      <w:pPr>
        <w:jc w:val="both"/>
        <w:divId w:val="1848250352"/>
        <w:rPr>
          <w:rFonts w:eastAsia="Times New Roman"/>
        </w:rPr>
      </w:pPr>
      <w:r>
        <w:rPr>
          <w:rFonts w:eastAsia="Times New Roman"/>
          <w:color w:val="000000"/>
          <w:sz w:val="20"/>
          <w:szCs w:val="20"/>
        </w:rPr>
        <w:t>Cost of revenues for the six months ended June 30, 2020 and 2019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2178"/>
        <w:gridCol w:w="39"/>
        <w:gridCol w:w="125"/>
        <w:gridCol w:w="555"/>
        <w:gridCol w:w="80"/>
        <w:gridCol w:w="36"/>
        <w:gridCol w:w="36"/>
        <w:gridCol w:w="36"/>
        <w:gridCol w:w="61"/>
        <w:gridCol w:w="506"/>
        <w:gridCol w:w="185"/>
        <w:gridCol w:w="36"/>
        <w:gridCol w:w="36"/>
        <w:gridCol w:w="36"/>
        <w:gridCol w:w="125"/>
        <w:gridCol w:w="645"/>
        <w:gridCol w:w="80"/>
        <w:gridCol w:w="36"/>
        <w:gridCol w:w="36"/>
        <w:gridCol w:w="36"/>
        <w:gridCol w:w="61"/>
        <w:gridCol w:w="506"/>
        <w:gridCol w:w="185"/>
        <w:gridCol w:w="36"/>
        <w:gridCol w:w="36"/>
        <w:gridCol w:w="36"/>
        <w:gridCol w:w="125"/>
        <w:gridCol w:w="630"/>
        <w:gridCol w:w="80"/>
        <w:gridCol w:w="36"/>
        <w:gridCol w:w="36"/>
        <w:gridCol w:w="36"/>
        <w:gridCol w:w="55"/>
        <w:gridCol w:w="456"/>
        <w:gridCol w:w="1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80003274"/>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24"/>
          <w:divId w:val="480003274"/>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80003274"/>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480003274"/>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Data cost</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30,726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32,798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(2,072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29,102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(8,960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Systems and bandwidth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11,792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Panel cost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9,948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10,322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(374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8,134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Sample and survey cost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Royalties and reseller</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480003274"/>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cost of revenue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90,747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105,401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(14,654</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(13.9</w:t>
            </w:r>
            <w:r>
              <w:rPr>
                <w:rFonts w:eastAsia="Times New Roman"/>
                <w:color w:val="000000"/>
                <w:sz w:val="18"/>
                <w:szCs w:val="18"/>
              </w:rPr>
              <w:t>)</w:t>
            </w:r>
          </w:p>
        </w:tc>
        <w:tc>
          <w:tcPr>
            <w:tcW w:w="0" w:type="auto"/>
            <w:shd w:val="clear" w:color="auto" w:fill="CCEE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251546116"/>
        <w:rPr>
          <w:rFonts w:eastAsia="Times New Roman"/>
        </w:rPr>
      </w:pPr>
      <w:r>
        <w:rPr>
          <w:rFonts w:eastAsia="Times New Roman"/>
          <w:color w:val="000000"/>
          <w:sz w:val="20"/>
          <w:szCs w:val="20"/>
        </w:rPr>
        <w:t>Cost of revenues decreased $14.</w:t>
      </w:r>
      <w:r>
        <w:rPr>
          <w:rFonts w:eastAsia="Times New Roman"/>
          <w:color w:val="000000"/>
          <w:sz w:val="20"/>
          <w:szCs w:val="20"/>
        </w:rPr>
        <w:t xml:space="preserve">7 million, or 13.9%, for the six months ended June 30, 2020 as compared to the six months ended June 30, 2019. Employee costs decreased $9.0 million primarily due to a reduction in headcount and a decrease in stock-based compensation expense. Professional </w:t>
      </w:r>
      <w:r>
        <w:rPr>
          <w:rFonts w:eastAsia="Times New Roman"/>
          <w:color w:val="000000"/>
          <w:sz w:val="20"/>
          <w:szCs w:val="20"/>
        </w:rPr>
        <w:t>fees decreased $2.4 million primarily due to a decrease in consulting services. Data costs decreased $2.1 million primarily due reclassification of costs to systems and bandwidth to better reflect the nature of the services provided. Sample and survey cost</w:t>
      </w:r>
      <w:r>
        <w:rPr>
          <w:rFonts w:eastAsia="Times New Roman"/>
          <w:color w:val="000000"/>
          <w:sz w:val="20"/>
          <w:szCs w:val="20"/>
        </w:rPr>
        <w:t>s decreased $1.3 million due to lower sales and deliveries of digital custom marketing solutions</w:t>
      </w:r>
      <w:r>
        <w:rPr>
          <w:rFonts w:eastAsia="Times New Roman"/>
          <w:color w:val="000000"/>
          <w:sz w:val="20"/>
          <w:szCs w:val="20"/>
        </w:rPr>
        <w:t>.</w:t>
      </w:r>
    </w:p>
    <w:p w:rsidR="00000000" w:rsidRDefault="007258AD">
      <w:pPr>
        <w:jc w:val="center"/>
        <w:divId w:val="157691248"/>
        <w:rPr>
          <w:rFonts w:eastAsia="Times New Roman"/>
        </w:rPr>
      </w:pPr>
      <w:r>
        <w:rPr>
          <w:rFonts w:eastAsia="Times New Roman"/>
          <w:color w:val="000000"/>
          <w:sz w:val="20"/>
          <w:szCs w:val="20"/>
        </w:rPr>
        <w:t>2</w:t>
      </w:r>
      <w:r>
        <w:rPr>
          <w:rFonts w:eastAsia="Times New Roman"/>
          <w:color w:val="000000"/>
          <w:sz w:val="20"/>
          <w:szCs w:val="20"/>
        </w:rPr>
        <w:t>4</w:t>
      </w:r>
    </w:p>
    <w:p w:rsidR="00000000" w:rsidRDefault="007258AD">
      <w:pPr>
        <w:rPr>
          <w:rFonts w:eastAsia="Times New Roman"/>
        </w:rPr>
      </w:pPr>
      <w:r>
        <w:rPr>
          <w:rFonts w:eastAsia="Times New Roman"/>
        </w:rPr>
        <w:pict>
          <v:rect id="_x0000_i1051" style="width:0;height:1.5pt" o:hralign="center" o:hrstd="t" o:hr="t" fillcolor="#a0a0a0" stroked="f"/>
        </w:pict>
      </w:r>
    </w:p>
    <w:p w:rsidR="00000000" w:rsidRDefault="007258AD">
      <w:pPr>
        <w:jc w:val="both"/>
        <w:divId w:val="815411645"/>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815411645"/>
        <w:rPr>
          <w:rFonts w:eastAsia="Times New Roman"/>
        </w:rPr>
      </w:pPr>
    </w:p>
    <w:p w:rsidR="00000000" w:rsidRDefault="007258AD">
      <w:pPr>
        <w:jc w:val="both"/>
        <w:divId w:val="797727328"/>
        <w:rPr>
          <w:rFonts w:eastAsia="Times New Roman"/>
        </w:rPr>
      </w:pPr>
      <w:r>
        <w:rPr>
          <w:rFonts w:eastAsia="Times New Roman"/>
          <w:b/>
          <w:bCs/>
          <w:i/>
          <w:iCs/>
          <w:color w:val="000000"/>
          <w:sz w:val="20"/>
          <w:szCs w:val="20"/>
        </w:rPr>
        <w:t>Selling and Marketin</w:t>
      </w:r>
      <w:r>
        <w:rPr>
          <w:rFonts w:eastAsia="Times New Roman"/>
          <w:b/>
          <w:bCs/>
          <w:i/>
          <w:iCs/>
          <w:color w:val="000000"/>
          <w:sz w:val="20"/>
          <w:szCs w:val="20"/>
        </w:rPr>
        <w:t>g</w:t>
      </w:r>
    </w:p>
    <w:p w:rsidR="00000000" w:rsidRDefault="007258AD">
      <w:pPr>
        <w:jc w:val="both"/>
        <w:divId w:val="1065953190"/>
        <w:rPr>
          <w:rFonts w:eastAsia="Times New Roman"/>
        </w:rPr>
      </w:pPr>
      <w:r>
        <w:rPr>
          <w:rFonts w:eastAsia="Times New Roman"/>
          <w:color w:val="000000"/>
          <w:sz w:val="20"/>
          <w:szCs w:val="20"/>
        </w:rPr>
        <w:t>Selling and marketing expenses consist primarily of employee costs, including salaries, benefits, commissions, stock-based compensation and other related costs for personnel associated with sales and marketing activities. It also incl</w:t>
      </w:r>
      <w:r>
        <w:rPr>
          <w:rFonts w:eastAsia="Times New Roman"/>
          <w:color w:val="000000"/>
          <w:sz w:val="20"/>
          <w:szCs w:val="20"/>
        </w:rPr>
        <w:t>udes costs related to online and offline advertising, industry conferences, promotional materials, public relations, other sales and marketing programs and allocated overhead, which is comprised of lease expense and other facilities-related costs, and depr</w:t>
      </w:r>
      <w:r>
        <w:rPr>
          <w:rFonts w:eastAsia="Times New Roman"/>
          <w:color w:val="000000"/>
          <w:sz w:val="20"/>
          <w:szCs w:val="20"/>
        </w:rPr>
        <w:t>eciation expense generated by general purpose equipment and software</w:t>
      </w:r>
      <w:r>
        <w:rPr>
          <w:rFonts w:eastAsia="Times New Roman"/>
          <w:color w:val="000000"/>
          <w:sz w:val="20"/>
          <w:szCs w:val="20"/>
        </w:rPr>
        <w:t>.</w:t>
      </w:r>
    </w:p>
    <w:p w:rsidR="00000000" w:rsidRDefault="007258AD">
      <w:pPr>
        <w:jc w:val="both"/>
        <w:divId w:val="571815163"/>
        <w:rPr>
          <w:rFonts w:eastAsia="Times New Roman"/>
        </w:rPr>
      </w:pPr>
      <w:r>
        <w:rPr>
          <w:rFonts w:eastAsia="Times New Roman"/>
          <w:color w:val="000000"/>
          <w:sz w:val="20"/>
          <w:szCs w:val="20"/>
        </w:rPr>
        <w:t>Selling and marketing expenses for the three months ended June 30, 2020 and 2019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2411"/>
        <w:gridCol w:w="37"/>
        <w:gridCol w:w="125"/>
        <w:gridCol w:w="555"/>
        <w:gridCol w:w="80"/>
        <w:gridCol w:w="36"/>
        <w:gridCol w:w="36"/>
        <w:gridCol w:w="36"/>
        <w:gridCol w:w="61"/>
        <w:gridCol w:w="517"/>
        <w:gridCol w:w="185"/>
        <w:gridCol w:w="36"/>
        <w:gridCol w:w="36"/>
        <w:gridCol w:w="36"/>
        <w:gridCol w:w="125"/>
        <w:gridCol w:w="577"/>
        <w:gridCol w:w="80"/>
        <w:gridCol w:w="36"/>
        <w:gridCol w:w="36"/>
        <w:gridCol w:w="36"/>
        <w:gridCol w:w="61"/>
        <w:gridCol w:w="524"/>
        <w:gridCol w:w="185"/>
        <w:gridCol w:w="36"/>
        <w:gridCol w:w="36"/>
        <w:gridCol w:w="36"/>
        <w:gridCol w:w="125"/>
        <w:gridCol w:w="578"/>
        <w:gridCol w:w="80"/>
        <w:gridCol w:w="36"/>
        <w:gridCol w:w="36"/>
        <w:gridCol w:w="36"/>
        <w:gridCol w:w="58"/>
        <w:gridCol w:w="530"/>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436708532"/>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1436708532"/>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436708532"/>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436708532"/>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Revenue</w:t>
            </w:r>
            <w:r>
              <w:rPr>
                <w:rFonts w:eastAsia="Times New Roman"/>
                <w:b/>
                <w:bCs/>
                <w:color w:val="000000"/>
                <w:sz w:val="16"/>
                <w:szCs w:val="16"/>
              </w:rPr>
              <w:t xml:space="preserve">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Revenue</w:t>
            </w:r>
            <w:r>
              <w:rPr>
                <w:rFonts w:eastAsia="Times New Roman"/>
                <w:b/>
                <w:bCs/>
                <w:color w:val="000000"/>
                <w:sz w:val="16"/>
                <w:szCs w:val="16"/>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13,322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18,591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(5,269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Trave</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36708532"/>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selling and marketing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23,329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(7,322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(31.4</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288586224"/>
        <w:rPr>
          <w:rFonts w:eastAsia="Times New Roman"/>
        </w:rPr>
      </w:pPr>
      <w:r>
        <w:rPr>
          <w:rFonts w:eastAsia="Times New Roman"/>
          <w:color w:val="000000"/>
          <w:sz w:val="20"/>
          <w:szCs w:val="20"/>
        </w:rPr>
        <w:t xml:space="preserve">Selling and marketing expenses decreased by $7.3 million, or 31.4%, for the three </w:t>
      </w:r>
      <w:r>
        <w:rPr>
          <w:rFonts w:eastAsia="Times New Roman"/>
          <w:color w:val="000000"/>
          <w:sz w:val="20"/>
          <w:szCs w:val="20"/>
        </w:rPr>
        <w:t>months ended June 30, 2020 as compared to the three months ended June 30, 2019, largely attributable to a decrease in employee costs as a result of lower headcount, a decrease in sales commissions, and lower travel costs resulting from the COVID-19 pandemi</w:t>
      </w:r>
      <w:r>
        <w:rPr>
          <w:rFonts w:eastAsia="Times New Roman"/>
          <w:color w:val="000000"/>
          <w:sz w:val="20"/>
          <w:szCs w:val="20"/>
        </w:rPr>
        <w:t>c</w:t>
      </w:r>
      <w:r>
        <w:rPr>
          <w:rFonts w:eastAsia="Times New Roman"/>
          <w:color w:val="000000"/>
          <w:sz w:val="20"/>
          <w:szCs w:val="20"/>
        </w:rPr>
        <w:t>.</w:t>
      </w:r>
    </w:p>
    <w:p w:rsidR="00000000" w:rsidRDefault="007258AD">
      <w:pPr>
        <w:jc w:val="both"/>
        <w:divId w:val="629939647"/>
        <w:rPr>
          <w:rFonts w:eastAsia="Times New Roman"/>
        </w:rPr>
      </w:pPr>
      <w:r>
        <w:rPr>
          <w:rFonts w:eastAsia="Times New Roman"/>
          <w:color w:val="000000"/>
          <w:sz w:val="20"/>
          <w:szCs w:val="20"/>
        </w:rPr>
        <w:t>Selling and marketing expenses for the six months ended June 30, 2020 and 2019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2411"/>
        <w:gridCol w:w="37"/>
        <w:gridCol w:w="125"/>
        <w:gridCol w:w="555"/>
        <w:gridCol w:w="80"/>
        <w:gridCol w:w="36"/>
        <w:gridCol w:w="36"/>
        <w:gridCol w:w="36"/>
        <w:gridCol w:w="61"/>
        <w:gridCol w:w="517"/>
        <w:gridCol w:w="185"/>
        <w:gridCol w:w="36"/>
        <w:gridCol w:w="36"/>
        <w:gridCol w:w="36"/>
        <w:gridCol w:w="125"/>
        <w:gridCol w:w="577"/>
        <w:gridCol w:w="80"/>
        <w:gridCol w:w="36"/>
        <w:gridCol w:w="36"/>
        <w:gridCol w:w="36"/>
        <w:gridCol w:w="61"/>
        <w:gridCol w:w="524"/>
        <w:gridCol w:w="185"/>
        <w:gridCol w:w="36"/>
        <w:gridCol w:w="36"/>
        <w:gridCol w:w="36"/>
        <w:gridCol w:w="125"/>
        <w:gridCol w:w="630"/>
        <w:gridCol w:w="80"/>
        <w:gridCol w:w="36"/>
        <w:gridCol w:w="36"/>
        <w:gridCol w:w="36"/>
        <w:gridCol w:w="55"/>
        <w:gridCol w:w="481"/>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74271934"/>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174271934"/>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74271934"/>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74271934"/>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Revenue</w:t>
            </w:r>
            <w:r>
              <w:rPr>
                <w:rFonts w:eastAsia="Times New Roman"/>
                <w:b/>
                <w:bCs/>
                <w:color w:val="000000"/>
                <w:sz w:val="16"/>
                <w:szCs w:val="16"/>
              </w:rPr>
              <w:t xml:space="preserve">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Revenue</w:t>
            </w:r>
            <w:r>
              <w:rPr>
                <w:rFonts w:eastAsia="Times New Roman"/>
                <w:b/>
                <w:bCs/>
                <w:color w:val="000000"/>
                <w:sz w:val="16"/>
                <w:szCs w:val="16"/>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28,482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38,954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(10,472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(535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1,263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Trave</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4271934"/>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selling and marketing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35,220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48,169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(12,949</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(26.9</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733045330"/>
        <w:rPr>
          <w:rFonts w:eastAsia="Times New Roman"/>
        </w:rPr>
      </w:pPr>
      <w:r>
        <w:rPr>
          <w:rFonts w:eastAsia="Times New Roman"/>
          <w:color w:val="000000"/>
          <w:sz w:val="20"/>
          <w:szCs w:val="20"/>
        </w:rPr>
        <w:t>Selling and marketing expenses decreased by $12.9 million, or 2</w:t>
      </w:r>
      <w:r>
        <w:rPr>
          <w:rFonts w:eastAsia="Times New Roman"/>
          <w:color w:val="000000"/>
          <w:sz w:val="20"/>
          <w:szCs w:val="20"/>
        </w:rPr>
        <w:t>6.9%, for the six months ended June 30, 2020 as compared to the six months ended June 30, 2019. Employee costs decreased $10.5 million as a result of lower headcount, a decrease in sales commissions, and a decrease in stock-based compensation expense. Trav</w:t>
      </w:r>
      <w:r>
        <w:rPr>
          <w:rFonts w:eastAsia="Times New Roman"/>
          <w:color w:val="000000"/>
          <w:sz w:val="20"/>
          <w:szCs w:val="20"/>
        </w:rPr>
        <w:t>el costs decreased $1.1 million primarily due to the reduction in travel resulting from the COVID-19 pandemic</w:t>
      </w:r>
      <w:r>
        <w:rPr>
          <w:rFonts w:eastAsia="Times New Roman"/>
          <w:color w:val="000000"/>
          <w:sz w:val="20"/>
          <w:szCs w:val="20"/>
        </w:rPr>
        <w:t>.</w:t>
      </w:r>
    </w:p>
    <w:p w:rsidR="00000000" w:rsidRDefault="007258AD">
      <w:pPr>
        <w:jc w:val="both"/>
        <w:divId w:val="1374231284"/>
        <w:rPr>
          <w:rFonts w:eastAsia="Times New Roman"/>
        </w:rPr>
      </w:pPr>
      <w:r>
        <w:rPr>
          <w:rFonts w:eastAsia="Times New Roman"/>
          <w:b/>
          <w:bCs/>
          <w:i/>
          <w:iCs/>
          <w:color w:val="000000"/>
          <w:sz w:val="20"/>
          <w:szCs w:val="20"/>
        </w:rPr>
        <w:t>Research and Developmen</w:t>
      </w:r>
      <w:r>
        <w:rPr>
          <w:rFonts w:eastAsia="Times New Roman"/>
          <w:b/>
          <w:bCs/>
          <w:i/>
          <w:iCs/>
          <w:color w:val="000000"/>
          <w:sz w:val="20"/>
          <w:szCs w:val="20"/>
        </w:rPr>
        <w:t>t</w:t>
      </w:r>
    </w:p>
    <w:p w:rsidR="00000000" w:rsidRDefault="007258AD">
      <w:pPr>
        <w:jc w:val="both"/>
        <w:divId w:val="212236738"/>
        <w:rPr>
          <w:rFonts w:eastAsia="Times New Roman"/>
        </w:rPr>
      </w:pPr>
      <w:r>
        <w:rPr>
          <w:rFonts w:eastAsia="Times New Roman"/>
          <w:color w:val="000000"/>
          <w:sz w:val="20"/>
          <w:szCs w:val="20"/>
        </w:rPr>
        <w:t>Research and development expenses include product development costs, consisting primarily of employee costs including sa</w:t>
      </w:r>
      <w:r>
        <w:rPr>
          <w:rFonts w:eastAsia="Times New Roman"/>
          <w:color w:val="000000"/>
          <w:sz w:val="20"/>
          <w:szCs w:val="20"/>
        </w:rPr>
        <w:t>laries, benefits, stock-based compensation and other related costs for personnel associated with research and development activities, third-party expenses to develop new products and third-party data costs and allocated overhead, which is comprised of leas</w:t>
      </w:r>
      <w:r>
        <w:rPr>
          <w:rFonts w:eastAsia="Times New Roman"/>
          <w:color w:val="000000"/>
          <w:sz w:val="20"/>
          <w:szCs w:val="20"/>
        </w:rPr>
        <w:t>e expense and other facilities-related costs, and depreciation expense related to general purpose equipment and software</w:t>
      </w:r>
      <w:r>
        <w:rPr>
          <w:rFonts w:eastAsia="Times New Roman"/>
          <w:color w:val="000000"/>
          <w:sz w:val="20"/>
          <w:szCs w:val="20"/>
        </w:rPr>
        <w:t>.</w:t>
      </w:r>
    </w:p>
    <w:p w:rsidR="00000000" w:rsidRDefault="007258AD">
      <w:pPr>
        <w:jc w:val="both"/>
        <w:divId w:val="793326734"/>
        <w:rPr>
          <w:rFonts w:eastAsia="Times New Roman"/>
        </w:rPr>
      </w:pPr>
      <w:r>
        <w:rPr>
          <w:rFonts w:eastAsia="Times New Roman"/>
          <w:color w:val="000000"/>
          <w:sz w:val="20"/>
          <w:szCs w:val="20"/>
        </w:rPr>
        <w:t>Research and development expenses for the three months ended June 30, 2020 and 2019 were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0"/>
        <w:gridCol w:w="38"/>
        <w:gridCol w:w="125"/>
        <w:gridCol w:w="547"/>
        <w:gridCol w:w="80"/>
        <w:gridCol w:w="36"/>
        <w:gridCol w:w="36"/>
        <w:gridCol w:w="36"/>
        <w:gridCol w:w="61"/>
        <w:gridCol w:w="524"/>
        <w:gridCol w:w="185"/>
        <w:gridCol w:w="36"/>
        <w:gridCol w:w="36"/>
        <w:gridCol w:w="36"/>
        <w:gridCol w:w="125"/>
        <w:gridCol w:w="577"/>
        <w:gridCol w:w="80"/>
        <w:gridCol w:w="36"/>
        <w:gridCol w:w="36"/>
        <w:gridCol w:w="36"/>
        <w:gridCol w:w="61"/>
        <w:gridCol w:w="524"/>
        <w:gridCol w:w="185"/>
        <w:gridCol w:w="36"/>
        <w:gridCol w:w="36"/>
        <w:gridCol w:w="36"/>
        <w:gridCol w:w="125"/>
        <w:gridCol w:w="578"/>
        <w:gridCol w:w="80"/>
        <w:gridCol w:w="36"/>
        <w:gridCol w:w="36"/>
        <w:gridCol w:w="36"/>
        <w:gridCol w:w="55"/>
        <w:gridCol w:w="533"/>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055348904"/>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2055348904"/>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2055348904"/>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13,018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(5,695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2055348904"/>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research and development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9,765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16,883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(7,118</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(42.2</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431898781"/>
        <w:rPr>
          <w:rFonts w:eastAsia="Times New Roman"/>
        </w:rPr>
      </w:pPr>
      <w:r>
        <w:rPr>
          <w:rFonts w:eastAsia="Times New Roman"/>
          <w:color w:val="000000"/>
          <w:sz w:val="20"/>
          <w:szCs w:val="20"/>
        </w:rPr>
        <w:t>Research and development expenses decreased by $7.1 million, or 42.2%, f</w:t>
      </w:r>
      <w:r>
        <w:rPr>
          <w:rFonts w:eastAsia="Times New Roman"/>
          <w:color w:val="000000"/>
          <w:sz w:val="20"/>
          <w:szCs w:val="20"/>
        </w:rPr>
        <w:t>or the three months ended June 30, 2020 as compared to the three months ended June 30, 2019. Employee costs decreased $5.7 million as a result of lower headcount and a decrease in stock-based compensation expense. Professional fees decreased $0.6 million p</w:t>
      </w:r>
      <w:r>
        <w:rPr>
          <w:rFonts w:eastAsia="Times New Roman"/>
          <w:color w:val="000000"/>
          <w:sz w:val="20"/>
          <w:szCs w:val="20"/>
        </w:rPr>
        <w:t>rimarily due to a decrease in consulting services</w:t>
      </w:r>
      <w:r>
        <w:rPr>
          <w:rFonts w:eastAsia="Times New Roman"/>
          <w:color w:val="000000"/>
          <w:sz w:val="20"/>
          <w:szCs w:val="20"/>
        </w:rPr>
        <w:t>.</w:t>
      </w:r>
    </w:p>
    <w:p w:rsidR="00000000" w:rsidRDefault="007258AD">
      <w:pPr>
        <w:jc w:val="center"/>
        <w:divId w:val="1680228208"/>
        <w:rPr>
          <w:rFonts w:eastAsia="Times New Roman"/>
        </w:rPr>
      </w:pPr>
      <w:r>
        <w:rPr>
          <w:rFonts w:eastAsia="Times New Roman"/>
          <w:color w:val="000000"/>
          <w:sz w:val="20"/>
          <w:szCs w:val="20"/>
        </w:rPr>
        <w:t>2</w:t>
      </w:r>
      <w:r>
        <w:rPr>
          <w:rFonts w:eastAsia="Times New Roman"/>
          <w:color w:val="000000"/>
          <w:sz w:val="20"/>
          <w:szCs w:val="20"/>
        </w:rPr>
        <w:t>5</w:t>
      </w:r>
    </w:p>
    <w:p w:rsidR="00000000" w:rsidRDefault="007258AD">
      <w:pPr>
        <w:rPr>
          <w:rFonts w:eastAsia="Times New Roman"/>
        </w:rPr>
      </w:pPr>
      <w:r>
        <w:rPr>
          <w:rFonts w:eastAsia="Times New Roman"/>
        </w:rPr>
        <w:pict>
          <v:rect id="_x0000_i1052" style="width:0;height:1.5pt" o:hralign="center" o:hrstd="t" o:hr="t" fillcolor="#a0a0a0" stroked="f"/>
        </w:pict>
      </w:r>
    </w:p>
    <w:p w:rsidR="00000000" w:rsidRDefault="007258AD">
      <w:pPr>
        <w:jc w:val="both"/>
        <w:divId w:val="1323318052"/>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323318052"/>
        <w:rPr>
          <w:rFonts w:eastAsia="Times New Roman"/>
        </w:rPr>
      </w:pPr>
    </w:p>
    <w:p w:rsidR="00000000" w:rsidRDefault="007258AD">
      <w:pPr>
        <w:jc w:val="both"/>
        <w:divId w:val="1640577461"/>
        <w:rPr>
          <w:rFonts w:eastAsia="Times New Roman"/>
        </w:rPr>
      </w:pPr>
      <w:r>
        <w:rPr>
          <w:rFonts w:eastAsia="Times New Roman"/>
          <w:color w:val="000000"/>
          <w:sz w:val="20"/>
          <w:szCs w:val="20"/>
        </w:rPr>
        <w:t>Research and development expenses for the six months ended June 30, 2020 and 2019 were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1"/>
        <w:gridCol w:w="37"/>
        <w:gridCol w:w="125"/>
        <w:gridCol w:w="555"/>
        <w:gridCol w:w="80"/>
        <w:gridCol w:w="36"/>
        <w:gridCol w:w="36"/>
        <w:gridCol w:w="36"/>
        <w:gridCol w:w="61"/>
        <w:gridCol w:w="517"/>
        <w:gridCol w:w="185"/>
        <w:gridCol w:w="36"/>
        <w:gridCol w:w="36"/>
        <w:gridCol w:w="36"/>
        <w:gridCol w:w="125"/>
        <w:gridCol w:w="577"/>
        <w:gridCol w:w="80"/>
        <w:gridCol w:w="36"/>
        <w:gridCol w:w="36"/>
        <w:gridCol w:w="36"/>
        <w:gridCol w:w="61"/>
        <w:gridCol w:w="524"/>
        <w:gridCol w:w="185"/>
        <w:gridCol w:w="36"/>
        <w:gridCol w:w="36"/>
        <w:gridCol w:w="36"/>
        <w:gridCol w:w="125"/>
        <w:gridCol w:w="630"/>
        <w:gridCol w:w="80"/>
        <w:gridCol w:w="36"/>
        <w:gridCol w:w="36"/>
        <w:gridCol w:w="36"/>
        <w:gridCol w:w="55"/>
        <w:gridCol w:w="481"/>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794401502"/>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1794401502"/>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794401502"/>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14,597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26,788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(12,191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(45.5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(1,588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4401502"/>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research and development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35,099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(15,198</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(43.3</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263611161"/>
        <w:rPr>
          <w:rFonts w:eastAsia="Times New Roman"/>
        </w:rPr>
      </w:pPr>
      <w:r>
        <w:rPr>
          <w:rFonts w:eastAsia="Times New Roman"/>
          <w:color w:val="000000"/>
          <w:sz w:val="20"/>
          <w:szCs w:val="20"/>
        </w:rPr>
        <w:t xml:space="preserve">Research and development expenses decreased by $15.2 million, or 43.3%, </w:t>
      </w:r>
      <w:r>
        <w:rPr>
          <w:rFonts w:eastAsia="Times New Roman"/>
          <w:color w:val="000000"/>
          <w:sz w:val="20"/>
          <w:szCs w:val="20"/>
        </w:rPr>
        <w:t>for the six months ended June 30, 2020 as compared to the six months ended June 30, 2019. Employee costs decreased $12.2 million as a result of lower headcount and a decrease in stock-based compensation expense. Professional fees decreased $1.6 million pri</w:t>
      </w:r>
      <w:r>
        <w:rPr>
          <w:rFonts w:eastAsia="Times New Roman"/>
          <w:color w:val="000000"/>
          <w:sz w:val="20"/>
          <w:szCs w:val="20"/>
        </w:rPr>
        <w:t>marily due to a decrease in consulting services</w:t>
      </w:r>
      <w:r>
        <w:rPr>
          <w:rFonts w:eastAsia="Times New Roman"/>
          <w:color w:val="000000"/>
          <w:sz w:val="20"/>
          <w:szCs w:val="20"/>
        </w:rPr>
        <w:t>.</w:t>
      </w:r>
    </w:p>
    <w:p w:rsidR="00000000" w:rsidRDefault="007258AD">
      <w:pPr>
        <w:jc w:val="both"/>
        <w:divId w:val="602151970"/>
        <w:rPr>
          <w:rFonts w:eastAsia="Times New Roman"/>
        </w:rPr>
      </w:pPr>
      <w:r>
        <w:rPr>
          <w:rFonts w:eastAsia="Times New Roman"/>
          <w:b/>
          <w:bCs/>
          <w:i/>
          <w:iCs/>
          <w:color w:val="000000"/>
          <w:sz w:val="20"/>
          <w:szCs w:val="20"/>
        </w:rPr>
        <w:t>General and Administrativ</w:t>
      </w:r>
      <w:r>
        <w:rPr>
          <w:rFonts w:eastAsia="Times New Roman"/>
          <w:b/>
          <w:bCs/>
          <w:i/>
          <w:iCs/>
          <w:color w:val="000000"/>
          <w:sz w:val="20"/>
          <w:szCs w:val="20"/>
        </w:rPr>
        <w:t>e</w:t>
      </w:r>
    </w:p>
    <w:p w:rsidR="00000000" w:rsidRDefault="007258AD">
      <w:pPr>
        <w:jc w:val="both"/>
        <w:divId w:val="1143931239"/>
        <w:rPr>
          <w:rFonts w:eastAsia="Times New Roman"/>
        </w:rPr>
      </w:pPr>
      <w:r>
        <w:rPr>
          <w:rFonts w:eastAsia="Times New Roman"/>
          <w:color w:val="000000"/>
          <w:sz w:val="20"/>
          <w:szCs w:val="20"/>
        </w:rPr>
        <w:t>General and administrative expenses consist primarily of employee costs including salaries, benefits, stock-based compensation and other related costs, and related expenses for exe</w:t>
      </w:r>
      <w:r>
        <w:rPr>
          <w:rFonts w:eastAsia="Times New Roman"/>
          <w:color w:val="000000"/>
          <w:sz w:val="20"/>
          <w:szCs w:val="20"/>
        </w:rPr>
        <w:t xml:space="preserve">cutive management, finance, human capital, legal and other administrative functions, as well as professional fees, overhead, including allocated overhead, which is comprised of lease expense and other facilities-related costs, depreciation expense related </w:t>
      </w:r>
      <w:r>
        <w:rPr>
          <w:rFonts w:eastAsia="Times New Roman"/>
          <w:color w:val="000000"/>
          <w:sz w:val="20"/>
          <w:szCs w:val="20"/>
        </w:rPr>
        <w:t>to general purpose equipment and software, and expenses incurred for other general corporate purposes</w:t>
      </w:r>
      <w:r>
        <w:rPr>
          <w:rFonts w:eastAsia="Times New Roman"/>
          <w:color w:val="000000"/>
          <w:sz w:val="20"/>
          <w:szCs w:val="20"/>
        </w:rPr>
        <w:t>.</w:t>
      </w:r>
    </w:p>
    <w:p w:rsidR="00000000" w:rsidRDefault="007258AD">
      <w:pPr>
        <w:jc w:val="both"/>
        <w:divId w:val="1466312820"/>
        <w:rPr>
          <w:rFonts w:eastAsia="Times New Roman"/>
        </w:rPr>
      </w:pPr>
      <w:r>
        <w:rPr>
          <w:rFonts w:eastAsia="Times New Roman"/>
          <w:color w:val="000000"/>
          <w:sz w:val="20"/>
          <w:szCs w:val="20"/>
        </w:rPr>
        <w:t>General and administrative expenses for the three months ended June 30, 2020 and 2019 were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1"/>
        <w:gridCol w:w="37"/>
        <w:gridCol w:w="125"/>
        <w:gridCol w:w="555"/>
        <w:gridCol w:w="80"/>
        <w:gridCol w:w="36"/>
        <w:gridCol w:w="36"/>
        <w:gridCol w:w="36"/>
        <w:gridCol w:w="61"/>
        <w:gridCol w:w="517"/>
        <w:gridCol w:w="185"/>
        <w:gridCol w:w="36"/>
        <w:gridCol w:w="36"/>
        <w:gridCol w:w="36"/>
        <w:gridCol w:w="125"/>
        <w:gridCol w:w="577"/>
        <w:gridCol w:w="80"/>
        <w:gridCol w:w="36"/>
        <w:gridCol w:w="36"/>
        <w:gridCol w:w="36"/>
        <w:gridCol w:w="61"/>
        <w:gridCol w:w="524"/>
        <w:gridCol w:w="185"/>
        <w:gridCol w:w="36"/>
        <w:gridCol w:w="36"/>
        <w:gridCol w:w="36"/>
        <w:gridCol w:w="125"/>
        <w:gridCol w:w="578"/>
        <w:gridCol w:w="80"/>
        <w:gridCol w:w="36"/>
        <w:gridCol w:w="36"/>
        <w:gridCol w:w="36"/>
        <w:gridCol w:w="55"/>
        <w:gridCol w:w="533"/>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972515944"/>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1972515944"/>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972515944"/>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8,548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(1,580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Bad debt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(125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972515944"/>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general and administrative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16,932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(3,191</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(18.8</w:t>
            </w:r>
            <w:r>
              <w:rPr>
                <w:rFonts w:eastAsia="Times New Roman"/>
                <w:color w:val="000000"/>
                <w:sz w:val="18"/>
                <w:szCs w:val="18"/>
              </w:rPr>
              <w:t>)</w:t>
            </w:r>
          </w:p>
        </w:tc>
        <w:tc>
          <w:tcPr>
            <w:tcW w:w="0" w:type="auto"/>
            <w:shd w:val="clear" w:color="auto" w:fill="CCEE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512456295"/>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Not meaningful (NM)</w:t>
      </w:r>
      <w:r>
        <w:rPr>
          <w:rFonts w:eastAsia="Times New Roman"/>
          <w:i/>
          <w:iCs/>
          <w:color w:val="000000"/>
          <w:sz w:val="16"/>
          <w:szCs w:val="16"/>
        </w:rPr>
        <w:t>.</w:t>
      </w:r>
    </w:p>
    <w:p w:rsidR="00000000" w:rsidRDefault="007258AD">
      <w:pPr>
        <w:jc w:val="both"/>
        <w:divId w:val="1952319798"/>
        <w:rPr>
          <w:rFonts w:eastAsia="Times New Roman"/>
        </w:rPr>
      </w:pPr>
      <w:r>
        <w:rPr>
          <w:rFonts w:eastAsia="Times New Roman"/>
          <w:color w:val="000000"/>
          <w:sz w:val="20"/>
          <w:szCs w:val="20"/>
        </w:rPr>
        <w:t>General and administrative expenses decreased by $3.2 million, or 18.8%, for the three months ended June 30, 2020 as compared to the three months ended June 30, 2019. Professional fees decreased $2.0 million primarily due to fees incurred in the three mont</w:t>
      </w:r>
      <w:r>
        <w:rPr>
          <w:rFonts w:eastAsia="Times New Roman"/>
          <w:color w:val="000000"/>
          <w:sz w:val="20"/>
          <w:szCs w:val="20"/>
        </w:rPr>
        <w:t xml:space="preserve">hs ended June 30, 2019 related to the issuance of Common Stock and warrants in June 2019 and reduced audit fees in 2020 as compared to 2019. Employee costs decreased $1.6 million primarily as a result of lower headcount and stock-based compensation in the </w:t>
      </w:r>
      <w:r>
        <w:rPr>
          <w:rFonts w:eastAsia="Times New Roman"/>
          <w:color w:val="000000"/>
          <w:sz w:val="20"/>
          <w:szCs w:val="20"/>
        </w:rPr>
        <w:t>second quarter of 2020 as compared with 2019. These decreases were offset by an increase in bad debt expense of $1.0 million primarily due to increased reserves related to customers more impacted by the current economic environment.</w:t>
      </w:r>
      <w:r>
        <w:rPr>
          <w:rFonts w:eastAsia="Times New Roman"/>
          <w:color w:val="000000"/>
          <w:sz w:val="20"/>
          <w:szCs w:val="20"/>
        </w:rPr>
        <w:t xml:space="preserve"> </w:t>
      </w:r>
    </w:p>
    <w:p w:rsidR="00000000" w:rsidRDefault="007258AD">
      <w:pPr>
        <w:jc w:val="both"/>
        <w:divId w:val="1776896889"/>
        <w:rPr>
          <w:rFonts w:eastAsia="Times New Roman"/>
        </w:rPr>
      </w:pPr>
      <w:r>
        <w:rPr>
          <w:rFonts w:eastAsia="Times New Roman"/>
          <w:color w:val="000000"/>
          <w:sz w:val="20"/>
          <w:szCs w:val="20"/>
        </w:rPr>
        <w:t>General and administra</w:t>
      </w:r>
      <w:r>
        <w:rPr>
          <w:rFonts w:eastAsia="Times New Roman"/>
          <w:color w:val="000000"/>
          <w:sz w:val="20"/>
          <w:szCs w:val="20"/>
        </w:rPr>
        <w:t>tive expenses for the six months ended June 30, 2020 and 2019 were as follows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1"/>
        <w:gridCol w:w="37"/>
        <w:gridCol w:w="125"/>
        <w:gridCol w:w="555"/>
        <w:gridCol w:w="80"/>
        <w:gridCol w:w="36"/>
        <w:gridCol w:w="36"/>
        <w:gridCol w:w="36"/>
        <w:gridCol w:w="61"/>
        <w:gridCol w:w="517"/>
        <w:gridCol w:w="185"/>
        <w:gridCol w:w="36"/>
        <w:gridCol w:w="36"/>
        <w:gridCol w:w="36"/>
        <w:gridCol w:w="125"/>
        <w:gridCol w:w="577"/>
        <w:gridCol w:w="80"/>
        <w:gridCol w:w="36"/>
        <w:gridCol w:w="36"/>
        <w:gridCol w:w="36"/>
        <w:gridCol w:w="61"/>
        <w:gridCol w:w="524"/>
        <w:gridCol w:w="185"/>
        <w:gridCol w:w="36"/>
        <w:gridCol w:w="36"/>
        <w:gridCol w:w="36"/>
        <w:gridCol w:w="125"/>
        <w:gridCol w:w="578"/>
        <w:gridCol w:w="80"/>
        <w:gridCol w:w="36"/>
        <w:gridCol w:w="36"/>
        <w:gridCol w:w="36"/>
        <w:gridCol w:w="58"/>
        <w:gridCol w:w="530"/>
        <w:gridCol w:w="1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54340918"/>
          <w:jc w:val="center"/>
        </w:trPr>
        <w:tc>
          <w:tcPr>
            <w:tcW w:w="50" w:type="pct"/>
            <w:vAlign w:val="center"/>
            <w:hideMark/>
          </w:tcPr>
          <w:p w:rsidR="00000000" w:rsidRDefault="007258AD">
            <w:pPr>
              <w:jc w:val="both"/>
              <w:rPr>
                <w:rFonts w:eastAsia="Times New Roman"/>
              </w:rPr>
            </w:pPr>
          </w:p>
        </w:tc>
        <w:tc>
          <w:tcPr>
            <w:tcW w:w="163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gridAfter w:val="18"/>
          <w:divId w:val="154340918"/>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54340918"/>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of Revenu</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Employee costs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13,532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19,809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(6,277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Professional fee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7,365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9,559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(2,194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Bad debt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NM</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Technolog</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Lease expense and depreciation</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(199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Transition services agreement</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0.3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Other</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4,569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5434091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general and administrative expense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29,284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36,477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(7,193</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7258AD">
            <w:pPr>
              <w:jc w:val="right"/>
              <w:rPr>
                <w:rFonts w:eastAsia="Times New Roman"/>
              </w:rPr>
            </w:pPr>
            <w:r>
              <w:rPr>
                <w:rFonts w:eastAsia="Times New Roman"/>
                <w:color w:val="000000"/>
                <w:sz w:val="18"/>
                <w:szCs w:val="18"/>
              </w:rPr>
              <w:t>(19.7</w:t>
            </w:r>
            <w:r>
              <w:rPr>
                <w:rFonts w:eastAsia="Times New Roman"/>
                <w:color w:val="000000"/>
                <w:sz w:val="18"/>
                <w:szCs w:val="18"/>
              </w:rPr>
              <w:t>)</w:t>
            </w:r>
          </w:p>
        </w:tc>
        <w:tc>
          <w:tcPr>
            <w:tcW w:w="0" w:type="auto"/>
            <w:shd w:val="clear" w:color="auto" w:fill="FFFFFF"/>
            <w:tcMar>
              <w:top w:w="30" w:type="dxa"/>
              <w:left w:w="15" w:type="dxa"/>
              <w:bottom w:w="30" w:type="dxa"/>
              <w:right w:w="20" w:type="dxa"/>
            </w:tcMar>
            <w:hideMark/>
          </w:tcPr>
          <w:p w:rsidR="00000000" w:rsidRDefault="007258AD">
            <w:pPr>
              <w:jc w:val="right"/>
              <w:rPr>
                <w:rFonts w:eastAsia="Times New Roman"/>
              </w:rPr>
            </w:pPr>
            <w:r>
              <w:rPr>
                <w:rFonts w:eastAsia="Times New Roman"/>
                <w:color w:val="000000"/>
                <w:sz w:val="18"/>
                <w:szCs w:val="18"/>
              </w:rPr>
              <w:t>%</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863322884"/>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Not meaningful (NM)</w:t>
      </w:r>
      <w:r>
        <w:rPr>
          <w:rFonts w:eastAsia="Times New Roman"/>
          <w:i/>
          <w:iCs/>
          <w:color w:val="000000"/>
          <w:sz w:val="16"/>
          <w:szCs w:val="16"/>
        </w:rPr>
        <w:t>.</w:t>
      </w:r>
    </w:p>
    <w:p w:rsidR="00000000" w:rsidRDefault="007258AD">
      <w:pPr>
        <w:jc w:val="both"/>
        <w:divId w:val="300422805"/>
        <w:rPr>
          <w:rFonts w:eastAsia="Times New Roman"/>
        </w:rPr>
      </w:pPr>
      <w:r>
        <w:rPr>
          <w:rFonts w:eastAsia="Times New Roman"/>
          <w:color w:val="000000"/>
          <w:sz w:val="20"/>
          <w:szCs w:val="20"/>
        </w:rPr>
        <w:t>Gener</w:t>
      </w:r>
      <w:r>
        <w:rPr>
          <w:rFonts w:eastAsia="Times New Roman"/>
          <w:color w:val="000000"/>
          <w:sz w:val="20"/>
          <w:szCs w:val="20"/>
        </w:rPr>
        <w:t>al and administrative expenses decreased by $7.2 million, or 19.7%, for the six months ended June 30, 2020 as compared to the six months ended June 30, 2019. A decrease of $6.3 million in employee costs in 2020 compared to 2019 was primarily due to $3.3 mi</w:t>
      </w:r>
      <w:r>
        <w:rPr>
          <w:rFonts w:eastAsia="Times New Roman"/>
          <w:color w:val="000000"/>
          <w:sz w:val="20"/>
          <w:szCs w:val="20"/>
        </w:rPr>
        <w:t>llion in severance costs for executives who exited in March 2019, as well as lower headcount and a decrease in stock-based compensation expense. Professional fees decreased $2.2 million primarily due to fees related to the issuance of Common Stock and warr</w:t>
      </w:r>
      <w:r>
        <w:rPr>
          <w:rFonts w:eastAsia="Times New Roman"/>
          <w:color w:val="000000"/>
          <w:sz w:val="20"/>
          <w:szCs w:val="20"/>
        </w:rPr>
        <w:t>ants in June 2019 and reduced audit fees in 2020 as compared to 2019. These decreases were offset by an increase in bad debt expense of $1.6 million primarily due to increased reserves related to customers impacted by the current economic environment</w:t>
      </w:r>
      <w:r>
        <w:rPr>
          <w:rFonts w:eastAsia="Times New Roman"/>
          <w:color w:val="000000"/>
          <w:sz w:val="20"/>
          <w:szCs w:val="20"/>
        </w:rPr>
        <w:t>.</w:t>
      </w:r>
    </w:p>
    <w:p w:rsidR="00000000" w:rsidRDefault="007258AD">
      <w:pPr>
        <w:jc w:val="center"/>
        <w:divId w:val="1506941956"/>
        <w:rPr>
          <w:rFonts w:eastAsia="Times New Roman"/>
        </w:rPr>
      </w:pPr>
      <w:r>
        <w:rPr>
          <w:rFonts w:eastAsia="Times New Roman"/>
          <w:color w:val="000000"/>
          <w:sz w:val="20"/>
          <w:szCs w:val="20"/>
        </w:rPr>
        <w:t>2</w:t>
      </w:r>
      <w:r>
        <w:rPr>
          <w:rFonts w:eastAsia="Times New Roman"/>
          <w:color w:val="000000"/>
          <w:sz w:val="20"/>
          <w:szCs w:val="20"/>
        </w:rPr>
        <w:t>6</w:t>
      </w:r>
    </w:p>
    <w:p w:rsidR="00000000" w:rsidRDefault="007258AD">
      <w:pPr>
        <w:rPr>
          <w:rFonts w:eastAsia="Times New Roman"/>
        </w:rPr>
      </w:pPr>
      <w:r>
        <w:rPr>
          <w:rFonts w:eastAsia="Times New Roman"/>
        </w:rPr>
        <w:pict>
          <v:rect id="_x0000_i1053" style="width:0;height:1.5pt" o:hralign="center" o:hrstd="t" o:hr="t" fillcolor="#a0a0a0" stroked="f"/>
        </w:pict>
      </w:r>
    </w:p>
    <w:p w:rsidR="00000000" w:rsidRDefault="007258AD">
      <w:pPr>
        <w:jc w:val="both"/>
        <w:divId w:val="205095006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2050950066"/>
        <w:rPr>
          <w:rFonts w:eastAsia="Times New Roman"/>
        </w:rPr>
      </w:pPr>
    </w:p>
    <w:p w:rsidR="00000000" w:rsidRDefault="007258AD">
      <w:pPr>
        <w:jc w:val="both"/>
        <w:divId w:val="1023628599"/>
        <w:rPr>
          <w:rFonts w:eastAsia="Times New Roman"/>
        </w:rPr>
      </w:pPr>
      <w:r>
        <w:rPr>
          <w:rFonts w:eastAsia="Times New Roman"/>
          <w:b/>
          <w:bCs/>
          <w:i/>
          <w:iCs/>
          <w:color w:val="000000"/>
          <w:sz w:val="20"/>
          <w:szCs w:val="20"/>
        </w:rPr>
        <w:t>Investigation and Audit Relate</w:t>
      </w:r>
      <w:r>
        <w:rPr>
          <w:rFonts w:eastAsia="Times New Roman"/>
          <w:b/>
          <w:bCs/>
          <w:i/>
          <w:iCs/>
          <w:color w:val="000000"/>
          <w:sz w:val="20"/>
          <w:szCs w:val="20"/>
        </w:rPr>
        <w:t>d</w:t>
      </w:r>
    </w:p>
    <w:p w:rsidR="00000000" w:rsidRDefault="007258AD">
      <w:pPr>
        <w:jc w:val="both"/>
        <w:divId w:val="1068453006"/>
        <w:rPr>
          <w:rFonts w:eastAsia="Times New Roman"/>
        </w:rPr>
      </w:pPr>
      <w:r>
        <w:rPr>
          <w:rFonts w:eastAsia="Times New Roman"/>
          <w:color w:val="000000"/>
          <w:sz w:val="20"/>
          <w:szCs w:val="20"/>
        </w:rPr>
        <w:t>We did not incur any expenses related to the previously disclosed Audit Committee investigation and prior-year</w:t>
      </w:r>
      <w:r>
        <w:rPr>
          <w:rFonts w:eastAsia="Times New Roman"/>
          <w:color w:val="000000"/>
          <w:sz w:val="20"/>
          <w:szCs w:val="20"/>
        </w:rPr>
        <w:t xml:space="preserve"> audits during the three and six months ended June 30, 2020. The investigation and audit related expenses for the three and six months ended June 30, 2019 related to ongoing fees for the previously disclosed SEC investigation which was resolved in Septembe</w:t>
      </w:r>
      <w:r>
        <w:rPr>
          <w:rFonts w:eastAsia="Times New Roman"/>
          <w:color w:val="000000"/>
          <w:sz w:val="20"/>
          <w:szCs w:val="20"/>
        </w:rPr>
        <w:t>r 2019. We do not expect to incur additional expenses for this matter</w:t>
      </w:r>
      <w:r>
        <w:rPr>
          <w:rFonts w:eastAsia="Times New Roman"/>
          <w:color w:val="000000"/>
          <w:sz w:val="20"/>
          <w:szCs w:val="20"/>
        </w:rPr>
        <w:t>.</w:t>
      </w:r>
    </w:p>
    <w:p w:rsidR="00000000" w:rsidRDefault="007258AD">
      <w:pPr>
        <w:jc w:val="both"/>
        <w:divId w:val="2064058165"/>
        <w:rPr>
          <w:rFonts w:eastAsia="Times New Roman"/>
        </w:rPr>
      </w:pPr>
      <w:r>
        <w:rPr>
          <w:rFonts w:eastAsia="Times New Roman"/>
          <w:b/>
          <w:bCs/>
          <w:i/>
          <w:iCs/>
          <w:color w:val="000000"/>
          <w:sz w:val="20"/>
          <w:szCs w:val="20"/>
        </w:rPr>
        <w:t>Impairment of Goodwill and Intangible Asse</w:t>
      </w:r>
      <w:r>
        <w:rPr>
          <w:rFonts w:eastAsia="Times New Roman"/>
          <w:b/>
          <w:bCs/>
          <w:i/>
          <w:iCs/>
          <w:color w:val="000000"/>
          <w:sz w:val="20"/>
          <w:szCs w:val="20"/>
        </w:rPr>
        <w:t>t</w:t>
      </w:r>
    </w:p>
    <w:p w:rsidR="00000000" w:rsidRDefault="007258AD">
      <w:pPr>
        <w:jc w:val="both"/>
        <w:divId w:val="227149967"/>
        <w:rPr>
          <w:rFonts w:eastAsia="Times New Roman"/>
        </w:rPr>
      </w:pPr>
      <w:r>
        <w:rPr>
          <w:rFonts w:eastAsia="Times New Roman"/>
          <w:color w:val="000000"/>
          <w:sz w:val="20"/>
          <w:szCs w:val="20"/>
        </w:rPr>
        <w:t>In the second quarter of 2019, as a result of a sustained decline in our stock price and market capitalization, changes in management, and lo</w:t>
      </w:r>
      <w:r>
        <w:rPr>
          <w:rFonts w:eastAsia="Times New Roman"/>
          <w:color w:val="000000"/>
          <w:sz w:val="20"/>
          <w:szCs w:val="20"/>
        </w:rPr>
        <w:t>wer revenue, among other factors, we performed an interim impairment review of our goodwill and long-lived assets. Our reporting unit did not pass the goodwill impairment test, and as a result we recorded a $224.3 million impairment charge in the second qu</w:t>
      </w:r>
      <w:r>
        <w:rPr>
          <w:rFonts w:eastAsia="Times New Roman"/>
          <w:color w:val="000000"/>
          <w:sz w:val="20"/>
          <w:szCs w:val="20"/>
        </w:rPr>
        <w:t>arter of 2019</w:t>
      </w:r>
      <w:r>
        <w:rPr>
          <w:rFonts w:eastAsia="Times New Roman"/>
          <w:color w:val="000000"/>
          <w:sz w:val="20"/>
          <w:szCs w:val="20"/>
        </w:rPr>
        <w:t>.</w:t>
      </w:r>
    </w:p>
    <w:p w:rsidR="00000000" w:rsidRDefault="007258AD">
      <w:pPr>
        <w:jc w:val="both"/>
        <w:divId w:val="1454523128"/>
        <w:rPr>
          <w:rFonts w:eastAsia="Times New Roman"/>
        </w:rPr>
      </w:pPr>
      <w:r>
        <w:rPr>
          <w:rFonts w:eastAsia="Times New Roman"/>
          <w:color w:val="000000"/>
          <w:sz w:val="20"/>
          <w:szCs w:val="20"/>
        </w:rPr>
        <w:t>Also in the second quarter of 2019, changes in our projected revenue in certain non-U.S. geographic markets due to the changing international competitive landscape, as well as significant reductions in international staffing during the quart</w:t>
      </w:r>
      <w:r>
        <w:rPr>
          <w:rFonts w:eastAsia="Times New Roman"/>
          <w:color w:val="000000"/>
          <w:sz w:val="20"/>
          <w:szCs w:val="20"/>
        </w:rPr>
        <w:t>er, resulted in a change in our long-term view of the viability of our strategic alliance intangible asset. Our assessment yielded that the benefit of the strategic alliance would not be realized, and as a result we recorded a $17.3 million impairment char</w:t>
      </w:r>
      <w:r>
        <w:rPr>
          <w:rFonts w:eastAsia="Times New Roman"/>
          <w:color w:val="000000"/>
          <w:sz w:val="20"/>
          <w:szCs w:val="20"/>
        </w:rPr>
        <w:t>ge in the second quarter of 2019</w:t>
      </w:r>
      <w:r>
        <w:rPr>
          <w:rFonts w:eastAsia="Times New Roman"/>
          <w:color w:val="000000"/>
          <w:sz w:val="20"/>
          <w:szCs w:val="20"/>
        </w:rPr>
        <w:t>.</w:t>
      </w:r>
    </w:p>
    <w:p w:rsidR="00000000" w:rsidRDefault="007258AD">
      <w:pPr>
        <w:jc w:val="both"/>
        <w:divId w:val="1355033431"/>
        <w:rPr>
          <w:rFonts w:eastAsia="Times New Roman"/>
        </w:rPr>
      </w:pPr>
      <w:r>
        <w:rPr>
          <w:rFonts w:eastAsia="Times New Roman"/>
          <w:color w:val="000000"/>
          <w:sz w:val="20"/>
          <w:szCs w:val="20"/>
        </w:rPr>
        <w:t>There were no comparable charges in the three or six months ended June 30, 2020</w:t>
      </w:r>
      <w:r>
        <w:rPr>
          <w:rFonts w:eastAsia="Times New Roman"/>
          <w:color w:val="000000"/>
          <w:sz w:val="20"/>
          <w:szCs w:val="20"/>
        </w:rPr>
        <w:t>.</w:t>
      </w:r>
    </w:p>
    <w:p w:rsidR="00000000" w:rsidRDefault="007258AD">
      <w:pPr>
        <w:jc w:val="both"/>
        <w:divId w:val="915867096"/>
        <w:rPr>
          <w:rFonts w:eastAsia="Times New Roman"/>
        </w:rPr>
      </w:pPr>
      <w:r>
        <w:rPr>
          <w:rFonts w:eastAsia="Times New Roman"/>
          <w:b/>
          <w:bCs/>
          <w:i/>
          <w:iCs/>
          <w:color w:val="000000"/>
          <w:sz w:val="20"/>
          <w:szCs w:val="20"/>
        </w:rPr>
        <w:t>Impairment of Right-of-use and Long-lived Asset</w:t>
      </w:r>
      <w:r>
        <w:rPr>
          <w:rFonts w:eastAsia="Times New Roman"/>
          <w:b/>
          <w:bCs/>
          <w:i/>
          <w:iCs/>
          <w:color w:val="000000"/>
          <w:sz w:val="20"/>
          <w:szCs w:val="20"/>
        </w:rPr>
        <w:t>s</w:t>
      </w:r>
    </w:p>
    <w:p w:rsidR="00000000" w:rsidRDefault="007258AD">
      <w:pPr>
        <w:jc w:val="both"/>
        <w:divId w:val="825779352"/>
        <w:rPr>
          <w:rFonts w:eastAsia="Times New Roman"/>
        </w:rPr>
      </w:pPr>
      <w:r>
        <w:rPr>
          <w:rFonts w:eastAsia="Times New Roman"/>
          <w:color w:val="000000"/>
          <w:sz w:val="20"/>
          <w:szCs w:val="20"/>
        </w:rPr>
        <w:t>In the first quarter of 2020, we recorded a $4.7 million impairment charge related to our fa</w:t>
      </w:r>
      <w:r>
        <w:rPr>
          <w:rFonts w:eastAsia="Times New Roman"/>
          <w:color w:val="000000"/>
          <w:sz w:val="20"/>
          <w:szCs w:val="20"/>
        </w:rPr>
        <w:t xml:space="preserve">cility lease right-of-use assets and associated leasehold improvements for certain properties currently on the market for sublease. The impairment charge was driven by changes in our projected undiscounted cash flows for certain properties, primarily as a </w:t>
      </w:r>
      <w:r>
        <w:rPr>
          <w:rFonts w:eastAsia="Times New Roman"/>
          <w:color w:val="000000"/>
          <w:sz w:val="20"/>
          <w:szCs w:val="20"/>
        </w:rPr>
        <w:t>result of changes in the real estate market related to the COVID-19 pandemic, that led to an increase in the estimated marketing time and a reduction of expected receipts</w:t>
      </w:r>
      <w:r>
        <w:rPr>
          <w:rFonts w:eastAsia="Times New Roman"/>
          <w:color w:val="000000"/>
          <w:sz w:val="20"/>
          <w:szCs w:val="20"/>
        </w:rPr>
        <w:t>.</w:t>
      </w:r>
    </w:p>
    <w:p w:rsidR="00000000" w:rsidRDefault="007258AD">
      <w:pPr>
        <w:jc w:val="both"/>
        <w:divId w:val="779033505"/>
        <w:rPr>
          <w:rFonts w:eastAsia="Times New Roman"/>
        </w:rPr>
      </w:pPr>
      <w:r>
        <w:rPr>
          <w:rFonts w:eastAsia="Times New Roman"/>
          <w:b/>
          <w:bCs/>
          <w:i/>
          <w:iCs/>
          <w:color w:val="000000"/>
          <w:sz w:val="20"/>
          <w:szCs w:val="20"/>
        </w:rPr>
        <w:t>Interest Expense, Ne</w:t>
      </w:r>
      <w:r>
        <w:rPr>
          <w:rFonts w:eastAsia="Times New Roman"/>
          <w:b/>
          <w:bCs/>
          <w:i/>
          <w:iCs/>
          <w:color w:val="000000"/>
          <w:sz w:val="20"/>
          <w:szCs w:val="20"/>
        </w:rPr>
        <w:t>t</w:t>
      </w:r>
    </w:p>
    <w:p w:rsidR="00000000" w:rsidRDefault="007258AD">
      <w:pPr>
        <w:jc w:val="both"/>
        <w:divId w:val="111442587"/>
        <w:rPr>
          <w:rFonts w:eastAsia="Times New Roman"/>
        </w:rPr>
      </w:pPr>
      <w:r>
        <w:rPr>
          <w:rFonts w:eastAsia="Times New Roman"/>
          <w:color w:val="000000"/>
          <w:sz w:val="20"/>
          <w:szCs w:val="20"/>
        </w:rPr>
        <w:t>Interest expense, net consists of interest income and interest</w:t>
      </w:r>
      <w:r>
        <w:rPr>
          <w:rFonts w:eastAsia="Times New Roman"/>
          <w:color w:val="000000"/>
          <w:sz w:val="20"/>
          <w:szCs w:val="20"/>
        </w:rPr>
        <w:t xml:space="preserve"> expense. Interest income primarily consists of interest earned from our cash and cash equivalent balances. Interest expense relates to interest on our senior secured convertible notes ("Notes"), secured term note (the "Secured Term Note") and our finance </w:t>
      </w:r>
      <w:r>
        <w:rPr>
          <w:rFonts w:eastAsia="Times New Roman"/>
          <w:color w:val="000000"/>
          <w:sz w:val="20"/>
          <w:szCs w:val="20"/>
        </w:rPr>
        <w:t>leases</w:t>
      </w:r>
      <w:r>
        <w:rPr>
          <w:rFonts w:eastAsia="Times New Roman"/>
          <w:color w:val="000000"/>
          <w:sz w:val="20"/>
          <w:szCs w:val="20"/>
        </w:rPr>
        <w:t>.</w:t>
      </w:r>
    </w:p>
    <w:p w:rsidR="00000000" w:rsidRDefault="007258AD">
      <w:pPr>
        <w:jc w:val="both"/>
        <w:divId w:val="858201467"/>
        <w:rPr>
          <w:rFonts w:eastAsia="Times New Roman"/>
        </w:rPr>
      </w:pPr>
      <w:r>
        <w:rPr>
          <w:rFonts w:eastAsia="Times New Roman"/>
          <w:color w:val="000000"/>
          <w:sz w:val="20"/>
          <w:szCs w:val="20"/>
        </w:rPr>
        <w:t>During the three months ended June 30, 2020 and 2019, we incurred interest expense, net of $8.9 million and $8.2 million, respectively, and $17.7 million and $15.0 million during the six months ended June 30, 2020 and 2019, respectively. The increa</w:t>
      </w:r>
      <w:r>
        <w:rPr>
          <w:rFonts w:eastAsia="Times New Roman"/>
          <w:color w:val="000000"/>
          <w:sz w:val="20"/>
          <w:szCs w:val="20"/>
        </w:rPr>
        <w:t>se in interest expense, net for the three months ended June 30, 2020 compared with the three months ended June 30, 2019 was primarily due to the issuance of the Secured Term Note in December 2019. The increase in interest expense, net for the six months en</w:t>
      </w:r>
      <w:r>
        <w:rPr>
          <w:rFonts w:eastAsia="Times New Roman"/>
          <w:color w:val="000000"/>
          <w:sz w:val="20"/>
          <w:szCs w:val="20"/>
        </w:rPr>
        <w:t>ded June 30, 2020 compared with the six months ended June 30, 2019 was primarily driven by the interest rate reset feature on the Notes, which reset the interest rate from 6.0% to 12.0% in January 2019, and the issuance of the Secured Term Note in December</w:t>
      </w:r>
      <w:r>
        <w:rPr>
          <w:rFonts w:eastAsia="Times New Roman"/>
          <w:color w:val="000000"/>
          <w:sz w:val="20"/>
          <w:szCs w:val="20"/>
        </w:rPr>
        <w:t xml:space="preserve"> 2019</w:t>
      </w:r>
      <w:r>
        <w:rPr>
          <w:rFonts w:eastAsia="Times New Roman"/>
          <w:color w:val="000000"/>
          <w:sz w:val="20"/>
          <w:szCs w:val="20"/>
        </w:rPr>
        <w:t>.</w:t>
      </w:r>
    </w:p>
    <w:p w:rsidR="00000000" w:rsidRDefault="007258AD">
      <w:pPr>
        <w:jc w:val="both"/>
        <w:divId w:val="2137946658"/>
        <w:rPr>
          <w:rFonts w:eastAsia="Times New Roman"/>
        </w:rPr>
      </w:pPr>
      <w:r>
        <w:rPr>
          <w:rFonts w:eastAsia="Times New Roman"/>
          <w:b/>
          <w:bCs/>
          <w:i/>
          <w:iCs/>
          <w:color w:val="000000"/>
          <w:sz w:val="20"/>
          <w:szCs w:val="20"/>
        </w:rPr>
        <w:t>Other Income (Expense), Ne</w:t>
      </w:r>
      <w:r>
        <w:rPr>
          <w:rFonts w:eastAsia="Times New Roman"/>
          <w:b/>
          <w:bCs/>
          <w:i/>
          <w:iCs/>
          <w:color w:val="000000"/>
          <w:sz w:val="20"/>
          <w:szCs w:val="20"/>
        </w:rPr>
        <w:t>t</w:t>
      </w:r>
    </w:p>
    <w:p w:rsidR="00000000" w:rsidRDefault="007258AD">
      <w:pPr>
        <w:jc w:val="both"/>
        <w:divId w:val="72514875"/>
        <w:rPr>
          <w:rFonts w:eastAsia="Times New Roman"/>
        </w:rPr>
      </w:pPr>
      <w:r>
        <w:rPr>
          <w:rFonts w:eastAsia="Times New Roman"/>
          <w:color w:val="000000"/>
          <w:sz w:val="20"/>
          <w:szCs w:val="20"/>
        </w:rPr>
        <w:t xml:space="preserve">Other income (expense), net represents income and expenses incurred that are generally not part of our regular operations. The following is a summary of other income (expense), net for the three and six months ended June </w:t>
      </w:r>
      <w:r>
        <w:rPr>
          <w:rFonts w:eastAsia="Times New Roman"/>
          <w:color w:val="000000"/>
          <w:sz w:val="20"/>
          <w:szCs w:val="20"/>
        </w:rPr>
        <w:t>30, 2020 and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361"/>
        <w:gridCol w:w="37"/>
        <w:gridCol w:w="125"/>
        <w:gridCol w:w="813"/>
        <w:gridCol w:w="80"/>
        <w:gridCol w:w="36"/>
        <w:gridCol w:w="36"/>
        <w:gridCol w:w="36"/>
        <w:gridCol w:w="125"/>
        <w:gridCol w:w="827"/>
        <w:gridCol w:w="80"/>
        <w:gridCol w:w="36"/>
        <w:gridCol w:w="36"/>
        <w:gridCol w:w="36"/>
        <w:gridCol w:w="125"/>
        <w:gridCol w:w="827"/>
        <w:gridCol w:w="80"/>
        <w:gridCol w:w="36"/>
        <w:gridCol w:w="36"/>
        <w:gridCol w:w="36"/>
        <w:gridCol w:w="125"/>
        <w:gridCol w:w="827"/>
        <w:gridCol w:w="80"/>
        <w:gridCol w:w="36"/>
        <w:gridCol w:w="36"/>
        <w:gridCol w:w="36"/>
        <w:gridCol w:w="36"/>
        <w:gridCol w:w="36"/>
        <w:gridCol w:w="36"/>
        <w:gridCol w:w="36"/>
        <w:gridCol w:w="36"/>
        <w:gridCol w:w="36"/>
        <w:gridCol w:w="36"/>
        <w:gridCol w:w="36"/>
        <w:gridCol w:w="36"/>
      </w:tblGrid>
      <w:tr w:rsidR="00000000">
        <w:trPr>
          <w:gridAfter w:val="12"/>
          <w:divId w:val="1491216781"/>
        </w:trPr>
        <w:tc>
          <w:tcPr>
            <w:tcW w:w="50" w:type="pct"/>
            <w:vAlign w:val="center"/>
            <w:hideMark/>
          </w:tcPr>
          <w:p w:rsidR="00000000" w:rsidRDefault="007258AD">
            <w:pPr>
              <w:jc w:val="both"/>
              <w:rPr>
                <w:rFonts w:eastAsia="Times New Roman"/>
              </w:rPr>
            </w:pPr>
          </w:p>
        </w:tc>
        <w:tc>
          <w:tcPr>
            <w:tcW w:w="217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491216781"/>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491216781"/>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91216781"/>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financing derivative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(3,000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91216781"/>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warrants liabilit</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3,893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91216781"/>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Change in fair value of investment in equity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(2,016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91216781"/>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491216781"/>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Total other income (expense), ne</w:t>
            </w:r>
            <w:r>
              <w:rPr>
                <w:rFonts w:eastAsia="Times New Roman"/>
                <w:color w:val="000000"/>
                <w:sz w:val="18"/>
                <w:szCs w:val="18"/>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(3,081</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8,671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540285123"/>
        <w:rPr>
          <w:rFonts w:eastAsia="Times New Roman"/>
        </w:rPr>
      </w:pPr>
      <w:r>
        <w:rPr>
          <w:rFonts w:eastAsia="Times New Roman"/>
          <w:color w:val="000000"/>
          <w:sz w:val="20"/>
          <w:szCs w:val="20"/>
        </w:rPr>
        <w:t>Other income, net for the three and six months ended June 30, 2020 was driven</w:t>
      </w:r>
      <w:r>
        <w:rPr>
          <w:rFonts w:eastAsia="Times New Roman"/>
          <w:color w:val="000000"/>
          <w:sz w:val="20"/>
          <w:szCs w:val="20"/>
        </w:rPr>
        <w:t xml:space="preserve"> primarily by the gain from the changes in fair value of our financing derivatives offset by the change in fair value of our warrants liability. Other expense, net for the three and six months ended June 30, 2019 primarily relates to gains and losses from </w:t>
      </w:r>
      <w:r>
        <w:rPr>
          <w:rFonts w:eastAsia="Times New Roman"/>
          <w:color w:val="000000"/>
          <w:sz w:val="20"/>
          <w:szCs w:val="20"/>
        </w:rPr>
        <w:t>the changes in fair value of our financing derivatives, and the loss due to the decline in the fair value of our investment in equity securities, which were disposed in 2019</w:t>
      </w:r>
      <w:r>
        <w:rPr>
          <w:rFonts w:eastAsia="Times New Roman"/>
          <w:color w:val="000000"/>
          <w:sz w:val="20"/>
          <w:szCs w:val="20"/>
        </w:rPr>
        <w:t>.</w:t>
      </w:r>
    </w:p>
    <w:p w:rsidR="00000000" w:rsidRDefault="007258AD">
      <w:pPr>
        <w:jc w:val="center"/>
        <w:divId w:val="240599216"/>
        <w:rPr>
          <w:rFonts w:eastAsia="Times New Roman"/>
        </w:rPr>
      </w:pPr>
      <w:r>
        <w:rPr>
          <w:rFonts w:eastAsia="Times New Roman"/>
          <w:color w:val="000000"/>
          <w:sz w:val="20"/>
          <w:szCs w:val="20"/>
        </w:rPr>
        <w:t>2</w:t>
      </w:r>
      <w:r>
        <w:rPr>
          <w:rFonts w:eastAsia="Times New Roman"/>
          <w:color w:val="000000"/>
          <w:sz w:val="20"/>
          <w:szCs w:val="20"/>
        </w:rPr>
        <w:t>7</w:t>
      </w:r>
    </w:p>
    <w:p w:rsidR="00000000" w:rsidRDefault="007258AD">
      <w:pPr>
        <w:rPr>
          <w:rFonts w:eastAsia="Times New Roman"/>
        </w:rPr>
      </w:pPr>
      <w:r>
        <w:rPr>
          <w:rFonts w:eastAsia="Times New Roman"/>
        </w:rPr>
        <w:pict>
          <v:rect id="_x0000_i1054" style="width:0;height:1.5pt" o:hralign="center" o:hrstd="t" o:hr="t" fillcolor="#a0a0a0" stroked="f"/>
        </w:pict>
      </w:r>
    </w:p>
    <w:p w:rsidR="00000000" w:rsidRDefault="007258AD">
      <w:pPr>
        <w:jc w:val="both"/>
        <w:divId w:val="1812864934"/>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812864934"/>
        <w:rPr>
          <w:rFonts w:eastAsia="Times New Roman"/>
        </w:rPr>
      </w:pPr>
    </w:p>
    <w:p w:rsidR="00000000" w:rsidRDefault="007258AD">
      <w:pPr>
        <w:jc w:val="both"/>
        <w:divId w:val="565141478"/>
        <w:rPr>
          <w:rFonts w:eastAsia="Times New Roman"/>
        </w:rPr>
      </w:pPr>
      <w:r>
        <w:rPr>
          <w:rFonts w:eastAsia="Times New Roman"/>
          <w:b/>
          <w:bCs/>
          <w:i/>
          <w:iCs/>
          <w:color w:val="000000"/>
          <w:sz w:val="20"/>
          <w:szCs w:val="20"/>
        </w:rPr>
        <w:t>Loss from Foreign Currency Transaction</w:t>
      </w:r>
      <w:r>
        <w:rPr>
          <w:rFonts w:eastAsia="Times New Roman"/>
          <w:b/>
          <w:bCs/>
          <w:i/>
          <w:iCs/>
          <w:color w:val="000000"/>
          <w:sz w:val="20"/>
          <w:szCs w:val="20"/>
        </w:rPr>
        <w:t>s</w:t>
      </w:r>
    </w:p>
    <w:p w:rsidR="00000000" w:rsidRDefault="007258AD">
      <w:pPr>
        <w:jc w:val="both"/>
        <w:divId w:val="379402556"/>
        <w:rPr>
          <w:rFonts w:eastAsia="Times New Roman"/>
        </w:rPr>
      </w:pPr>
      <w:r>
        <w:rPr>
          <w:rFonts w:eastAsia="Times New Roman"/>
          <w:color w:val="000000"/>
          <w:sz w:val="20"/>
          <w:szCs w:val="20"/>
        </w:rPr>
        <w:t>Our foreign currency transactions are recorded as a result of fluctuations in the exchange rate betwee</w:t>
      </w:r>
      <w:r>
        <w:rPr>
          <w:rFonts w:eastAsia="Times New Roman"/>
          <w:color w:val="000000"/>
          <w:sz w:val="20"/>
          <w:szCs w:val="20"/>
        </w:rPr>
        <w:t>n the transactional currency and the functional currency of foreign subsidiary transactions. Our international currency exposures that relate to the translation to U.S. Dollars are in a net liability position and our international currency exposures that r</w:t>
      </w:r>
      <w:r>
        <w:rPr>
          <w:rFonts w:eastAsia="Times New Roman"/>
          <w:color w:val="000000"/>
          <w:sz w:val="20"/>
          <w:szCs w:val="20"/>
        </w:rPr>
        <w:t>elate to the translation from U.S. Dollars are in a net asset position. The U.S. Dollar strengthened during the first quarter of 2020 which was offset by weakness of the U.S. Dollar in the second quarter of 2020. This resulted in losses for our positions w</w:t>
      </w:r>
      <w:r>
        <w:rPr>
          <w:rFonts w:eastAsia="Times New Roman"/>
          <w:color w:val="000000"/>
          <w:sz w:val="20"/>
          <w:szCs w:val="20"/>
        </w:rPr>
        <w:t>hen translated to U.S. Dollars during the second quarter of 2020 and minimal losses for the first half of 2020. For the three and six months ended June 30, 2020, the loss from foreign currency transactions was $0.9 million and $0.1 million, respectively.</w:t>
      </w:r>
      <w:r>
        <w:rPr>
          <w:rFonts w:eastAsia="Times New Roman"/>
          <w:color w:val="000000"/>
          <w:sz w:val="20"/>
          <w:szCs w:val="20"/>
        </w:rPr>
        <w:t xml:space="preserve"> </w:t>
      </w:r>
      <w:r>
        <w:rPr>
          <w:rFonts w:eastAsia="Times New Roman"/>
          <w:color w:val="212529"/>
          <w:sz w:val="20"/>
          <w:szCs w:val="20"/>
        </w:rPr>
        <w:t>T</w:t>
      </w:r>
      <w:r>
        <w:rPr>
          <w:rFonts w:eastAsia="Times New Roman"/>
          <w:color w:val="212529"/>
          <w:sz w:val="20"/>
          <w:szCs w:val="20"/>
        </w:rPr>
        <w:t>he losses were primarily driven by fluctuations in the Chilean Peso against the U.S. Dollar and Euro.</w:t>
      </w:r>
      <w:r>
        <w:rPr>
          <w:rFonts w:eastAsia="Times New Roman"/>
          <w:color w:val="212529"/>
          <w:sz w:val="20"/>
          <w:szCs w:val="20"/>
        </w:rPr>
        <w:t xml:space="preserve"> </w:t>
      </w:r>
      <w:r>
        <w:rPr>
          <w:rFonts w:eastAsia="Times New Roman"/>
          <w:color w:val="000000"/>
          <w:sz w:val="20"/>
          <w:szCs w:val="20"/>
        </w:rPr>
        <w:t>For the three and six months ended June 30, 2019, the gain from foreign currency transactions was immaterial</w:t>
      </w:r>
      <w:r>
        <w:rPr>
          <w:rFonts w:eastAsia="Times New Roman"/>
          <w:color w:val="000000"/>
          <w:sz w:val="20"/>
          <w:szCs w:val="20"/>
        </w:rPr>
        <w:t>.</w:t>
      </w:r>
    </w:p>
    <w:p w:rsidR="00000000" w:rsidRDefault="007258AD">
      <w:pPr>
        <w:jc w:val="both"/>
        <w:divId w:val="1418402072"/>
        <w:rPr>
          <w:rFonts w:eastAsia="Times New Roman"/>
        </w:rPr>
      </w:pPr>
      <w:r>
        <w:rPr>
          <w:rFonts w:eastAsia="Times New Roman"/>
          <w:b/>
          <w:bCs/>
          <w:i/>
          <w:iCs/>
          <w:color w:val="000000"/>
          <w:sz w:val="20"/>
          <w:szCs w:val="20"/>
        </w:rPr>
        <w:t>Benefit for Income Taxes</w:t>
      </w:r>
      <w:r>
        <w:rPr>
          <w:rFonts w:eastAsia="Times New Roman"/>
          <w:b/>
          <w:bCs/>
          <w:i/>
          <w:iCs/>
          <w:color w:val="000000"/>
          <w:sz w:val="20"/>
          <w:szCs w:val="20"/>
        </w:rPr>
        <w:t xml:space="preserve"> </w:t>
      </w:r>
    </w:p>
    <w:p w:rsidR="00000000" w:rsidRDefault="007258AD">
      <w:pPr>
        <w:jc w:val="both"/>
        <w:divId w:val="781728444"/>
        <w:rPr>
          <w:rFonts w:eastAsia="Times New Roman"/>
        </w:rPr>
      </w:pPr>
      <w:r>
        <w:rPr>
          <w:rFonts w:eastAsia="Times New Roman"/>
          <w:color w:val="000000"/>
          <w:sz w:val="20"/>
          <w:szCs w:val="20"/>
        </w:rPr>
        <w:t>A valuation allowa</w:t>
      </w:r>
      <w:r>
        <w:rPr>
          <w:rFonts w:eastAsia="Times New Roman"/>
          <w:color w:val="000000"/>
          <w:sz w:val="20"/>
          <w:szCs w:val="20"/>
        </w:rPr>
        <w:t>nce has been established against our net U.S. federal and state deferred tax assets, including net operating loss carryforwards. As a result, our income tax position is primarily related to foreign tax activity</w:t>
      </w:r>
      <w:r>
        <w:rPr>
          <w:rFonts w:eastAsia="Times New Roman"/>
          <w:color w:val="000000"/>
          <w:sz w:val="20"/>
          <w:szCs w:val="20"/>
        </w:rPr>
        <w:t>.</w:t>
      </w:r>
    </w:p>
    <w:p w:rsidR="00000000" w:rsidRDefault="007258AD">
      <w:pPr>
        <w:jc w:val="both"/>
        <w:divId w:val="1792940791"/>
        <w:rPr>
          <w:rFonts w:eastAsia="Times New Roman"/>
        </w:rPr>
      </w:pPr>
      <w:r>
        <w:rPr>
          <w:rFonts w:eastAsia="Times New Roman"/>
          <w:color w:val="000000"/>
          <w:sz w:val="20"/>
          <w:szCs w:val="20"/>
        </w:rPr>
        <w:t>During the three and six months ended June 3</w:t>
      </w:r>
      <w:r>
        <w:rPr>
          <w:rFonts w:eastAsia="Times New Roman"/>
          <w:color w:val="000000"/>
          <w:sz w:val="20"/>
          <w:szCs w:val="20"/>
        </w:rPr>
        <w:t>0, 2020, we recorded an income tax benefit of $0.7 million and $1.1 million, respectively, resulting in an effective tax rate of (6.0)% and (4.4)%, respectively. During the three and six months ended June 30, 2019, we recorded an income tax benefit of $4.5</w:t>
      </w:r>
      <w:r>
        <w:rPr>
          <w:rFonts w:eastAsia="Times New Roman"/>
          <w:color w:val="000000"/>
          <w:sz w:val="20"/>
          <w:szCs w:val="20"/>
        </w:rPr>
        <w:t xml:space="preserve"> million and $3.3 million, respectively, resulting in an effective tax rate of (1.6)% and (1.1)%, respectively. These effective tax rates differ from the U.S. federal statutory rate primarily due to the effects of foreign tax rate differences, U.S. state l</w:t>
      </w:r>
      <w:r>
        <w:rPr>
          <w:rFonts w:eastAsia="Times New Roman"/>
          <w:color w:val="000000"/>
          <w:sz w:val="20"/>
          <w:szCs w:val="20"/>
        </w:rPr>
        <w:t>egislative changes and changes in the valuation allowance against our domestic deferred tax assets.</w:t>
      </w:r>
      <w:r>
        <w:rPr>
          <w:rFonts w:eastAsia="Times New Roman"/>
          <w:color w:val="000000"/>
          <w:sz w:val="20"/>
          <w:szCs w:val="20"/>
        </w:rPr>
        <w:t xml:space="preserve"> </w:t>
      </w:r>
    </w:p>
    <w:p w:rsidR="00000000" w:rsidRDefault="007258AD">
      <w:pPr>
        <w:jc w:val="both"/>
        <w:divId w:val="408582207"/>
        <w:rPr>
          <w:rFonts w:eastAsia="Times New Roman"/>
        </w:rPr>
      </w:pPr>
      <w:r>
        <w:rPr>
          <w:rFonts w:eastAsia="Times New Roman"/>
          <w:color w:val="000000"/>
          <w:sz w:val="20"/>
          <w:szCs w:val="20"/>
        </w:rPr>
        <w:t>The COVID-19 pandemic has a global reach, and many countries are introducing measures that provide relief to taxpayers in a variety of ways. We are current</w:t>
      </w:r>
      <w:r>
        <w:rPr>
          <w:rFonts w:eastAsia="Times New Roman"/>
          <w:color w:val="000000"/>
          <w:sz w:val="20"/>
          <w:szCs w:val="20"/>
        </w:rPr>
        <w:t>ly evaluating these measures, including the CARES Act in the United States, but these did not have an impact on our income tax provision for the three and six months ended June 30, 2020</w:t>
      </w:r>
      <w:r>
        <w:rPr>
          <w:rFonts w:eastAsia="Times New Roman"/>
          <w:color w:val="000000"/>
          <w:sz w:val="20"/>
          <w:szCs w:val="20"/>
        </w:rPr>
        <w:t>.</w:t>
      </w:r>
    </w:p>
    <w:p w:rsidR="00000000" w:rsidRDefault="007258AD">
      <w:pPr>
        <w:jc w:val="both"/>
        <w:divId w:val="1125344890"/>
        <w:rPr>
          <w:rFonts w:eastAsia="Times New Roman"/>
        </w:rPr>
      </w:pPr>
      <w:r>
        <w:rPr>
          <w:rFonts w:eastAsia="Times New Roman"/>
          <w:b/>
          <w:bCs/>
          <w:i/>
          <w:iCs/>
          <w:color w:val="000000"/>
          <w:sz w:val="20"/>
          <w:szCs w:val="20"/>
        </w:rPr>
        <w:t>Recent Accounting Pronouncement</w:t>
      </w:r>
      <w:r>
        <w:rPr>
          <w:rFonts w:eastAsia="Times New Roman"/>
          <w:b/>
          <w:bCs/>
          <w:i/>
          <w:iCs/>
          <w:color w:val="000000"/>
          <w:sz w:val="20"/>
          <w:szCs w:val="20"/>
        </w:rPr>
        <w:t>s</w:t>
      </w:r>
    </w:p>
    <w:p w:rsidR="00000000" w:rsidRDefault="007258AD">
      <w:pPr>
        <w:jc w:val="both"/>
        <w:divId w:val="2041122476"/>
        <w:rPr>
          <w:rFonts w:eastAsia="Times New Roman"/>
        </w:rPr>
      </w:pPr>
      <w:r>
        <w:rPr>
          <w:rFonts w:eastAsia="Times New Roman"/>
          <w:color w:val="000000"/>
          <w:sz w:val="20"/>
          <w:szCs w:val="20"/>
        </w:rPr>
        <w:t>For a discussion of recent accountin</w:t>
      </w:r>
      <w:r>
        <w:rPr>
          <w:rFonts w:eastAsia="Times New Roman"/>
          <w:color w:val="000000"/>
          <w:sz w:val="20"/>
          <w:szCs w:val="20"/>
        </w:rPr>
        <w:t>g pronouncements, refer to</w:t>
      </w:r>
      <w:r>
        <w:rPr>
          <w:rFonts w:eastAsia="Times New Roman"/>
          <w:color w:val="000000"/>
          <w:sz w:val="20"/>
          <w:szCs w:val="20"/>
        </w:rPr>
        <w:t xml:space="preserve"> </w:t>
      </w:r>
      <w:hyperlink w:anchor="if3309f2850e6489fbcf3fb9276fba379_46" w:history="1">
        <w:r>
          <w:rPr>
            <w:rStyle w:val="a3"/>
            <w:rFonts w:eastAsia="Times New Roman"/>
            <w:sz w:val="20"/>
            <w:szCs w:val="20"/>
          </w:rPr>
          <w:t>Footnote 2</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Summary of Significant Accounting Policie</w:t>
      </w:r>
      <w:r>
        <w:rPr>
          <w:rFonts w:eastAsia="Times New Roman"/>
          <w:i/>
          <w:iCs/>
          <w:color w:val="000000"/>
          <w:sz w:val="20"/>
          <w:szCs w:val="20"/>
        </w:rPr>
        <w:t>s</w:t>
      </w:r>
      <w:r>
        <w:rPr>
          <w:rFonts w:eastAsia="Times New Roman"/>
          <w:color w:val="000000"/>
          <w:sz w:val="20"/>
          <w:szCs w:val="20"/>
        </w:rPr>
        <w:t>.</w:t>
      </w:r>
    </w:p>
    <w:p w:rsidR="00000000" w:rsidRDefault="007258AD">
      <w:pPr>
        <w:jc w:val="both"/>
        <w:divId w:val="1993176544"/>
        <w:rPr>
          <w:rFonts w:eastAsia="Times New Roman"/>
        </w:rPr>
      </w:pPr>
      <w:r>
        <w:rPr>
          <w:rFonts w:eastAsia="Times New Roman"/>
          <w:b/>
          <w:bCs/>
          <w:color w:val="000000"/>
          <w:sz w:val="20"/>
          <w:szCs w:val="20"/>
        </w:rPr>
        <w:t>Non-GAAP Financial Measure</w:t>
      </w:r>
      <w:r>
        <w:rPr>
          <w:rFonts w:eastAsia="Times New Roman"/>
          <w:b/>
          <w:bCs/>
          <w:color w:val="000000"/>
          <w:sz w:val="20"/>
          <w:szCs w:val="20"/>
        </w:rPr>
        <w:t>s</w:t>
      </w:r>
    </w:p>
    <w:p w:rsidR="00000000" w:rsidRDefault="007258AD">
      <w:pPr>
        <w:jc w:val="both"/>
        <w:divId w:val="1099763125"/>
        <w:rPr>
          <w:rFonts w:eastAsia="Times New Roman"/>
        </w:rPr>
      </w:pPr>
      <w:r>
        <w:rPr>
          <w:rFonts w:eastAsia="Times New Roman"/>
          <w:color w:val="000000"/>
          <w:sz w:val="20"/>
          <w:szCs w:val="20"/>
        </w:rPr>
        <w:t xml:space="preserve">To provide investors with additional information regarding our financial results, and </w:t>
      </w:r>
      <w:r>
        <w:rPr>
          <w:rFonts w:eastAsia="Times New Roman"/>
          <w:color w:val="000000"/>
          <w:sz w:val="20"/>
          <w:szCs w:val="20"/>
        </w:rPr>
        <w:t>to comply with a covenant under our Notes (described below), we are disclosing herein Adjusted Earnings Before Interest, Taxes, Depreciation and Amortization ("EBITDA") and non-GAAP net loss, each of which are non-GAAP financial measures used by our manage</w:t>
      </w:r>
      <w:r>
        <w:rPr>
          <w:rFonts w:eastAsia="Times New Roman"/>
          <w:color w:val="000000"/>
          <w:sz w:val="20"/>
          <w:szCs w:val="20"/>
        </w:rPr>
        <w:t>ment to understand and evaluate our core operating performance and trends. We believe that these non-GAAP financial measures provide useful information to investors and others in understanding and evaluating our operating results, as they permit our invest</w:t>
      </w:r>
      <w:r>
        <w:rPr>
          <w:rFonts w:eastAsia="Times New Roman"/>
          <w:color w:val="000000"/>
          <w:sz w:val="20"/>
          <w:szCs w:val="20"/>
        </w:rPr>
        <w:t>ors to view our core business performance using the same metrics that management uses to evaluate our performance</w:t>
      </w:r>
      <w:r>
        <w:rPr>
          <w:rFonts w:eastAsia="Times New Roman"/>
          <w:color w:val="000000"/>
          <w:sz w:val="20"/>
          <w:szCs w:val="20"/>
        </w:rPr>
        <w:t>.</w:t>
      </w:r>
    </w:p>
    <w:p w:rsidR="00000000" w:rsidRDefault="007258AD">
      <w:pPr>
        <w:jc w:val="both"/>
        <w:divId w:val="1895385532"/>
        <w:rPr>
          <w:rFonts w:eastAsia="Times New Roman"/>
        </w:rPr>
      </w:pPr>
      <w:r>
        <w:rPr>
          <w:rFonts w:eastAsia="Times New Roman"/>
          <w:color w:val="000000"/>
          <w:sz w:val="20"/>
          <w:szCs w:val="20"/>
        </w:rPr>
        <w:t>EBITDA is defined as GAAP net income (loss) plus or minus interest, taxes, depreciation and amortization of intangible assets and finance lea</w:t>
      </w:r>
      <w:r>
        <w:rPr>
          <w:rFonts w:eastAsia="Times New Roman"/>
          <w:color w:val="000000"/>
          <w:sz w:val="20"/>
          <w:szCs w:val="20"/>
        </w:rPr>
        <w:t xml:space="preserve">ses. We define Adjusted EBITDA as EBITDA plus or minus stock-based compensation expense as well as other items and amounts that we view as not indicative of our core operating performance, specifically: charges for matters relating to the prior-year Audit </w:t>
      </w:r>
      <w:r>
        <w:rPr>
          <w:rFonts w:eastAsia="Times New Roman"/>
          <w:color w:val="000000"/>
          <w:sz w:val="20"/>
          <w:szCs w:val="20"/>
        </w:rPr>
        <w:t>Committee investigation, such as litigation and investigation-related costs, costs associated with tax projects, audits, consulting and other professional fees; other legal proceedings specified in the Notes; settlement of certain litigation; restructuring</w:t>
      </w:r>
      <w:r>
        <w:rPr>
          <w:rFonts w:eastAsia="Times New Roman"/>
          <w:color w:val="000000"/>
          <w:sz w:val="20"/>
          <w:szCs w:val="20"/>
        </w:rPr>
        <w:t xml:space="preserve"> expense; transaction costs related to the issuance of equity securities; non-cash impairment charges; and non-cash changes in the fair value of financing derivatives, warrants liability and investments in equity securities</w:t>
      </w:r>
      <w:r>
        <w:rPr>
          <w:rFonts w:eastAsia="Times New Roman"/>
          <w:color w:val="000000"/>
          <w:sz w:val="20"/>
          <w:szCs w:val="20"/>
        </w:rPr>
        <w:t>.</w:t>
      </w:r>
    </w:p>
    <w:p w:rsidR="00000000" w:rsidRDefault="007258AD">
      <w:pPr>
        <w:jc w:val="both"/>
        <w:divId w:val="1283850869"/>
        <w:rPr>
          <w:rFonts w:eastAsia="Times New Roman"/>
        </w:rPr>
      </w:pPr>
      <w:r>
        <w:rPr>
          <w:rFonts w:eastAsia="Times New Roman"/>
          <w:color w:val="000000"/>
          <w:sz w:val="20"/>
          <w:szCs w:val="20"/>
        </w:rPr>
        <w:t xml:space="preserve">We define non-GAAP net loss as </w:t>
      </w:r>
      <w:r>
        <w:rPr>
          <w:rFonts w:eastAsia="Times New Roman"/>
          <w:color w:val="000000"/>
          <w:sz w:val="20"/>
          <w:szCs w:val="20"/>
        </w:rPr>
        <w:t xml:space="preserve">GAAP net income (loss) plus or minus stock-based compensation expense and amortization of intangible assets, as well as other items and amounts that we view as not indicative of our core operating performance, specifically: charges for matters relating to </w:t>
      </w:r>
      <w:r>
        <w:rPr>
          <w:rFonts w:eastAsia="Times New Roman"/>
          <w:color w:val="000000"/>
          <w:sz w:val="20"/>
          <w:szCs w:val="20"/>
        </w:rPr>
        <w:t>the prior-year Audit Committee investigation, such as litigation and investigation-related costs, costs associated with tax projects, audits, consulting and other professional fees; other legal proceedings specified in the Notes; settlement of certain liti</w:t>
      </w:r>
      <w:r>
        <w:rPr>
          <w:rFonts w:eastAsia="Times New Roman"/>
          <w:color w:val="000000"/>
          <w:sz w:val="20"/>
          <w:szCs w:val="20"/>
        </w:rPr>
        <w:t>gation; restructuring expense; transaction costs related to the issuance of equity securities; non-cash impairment charges; and non-cash changes in the fair value of financing derivatives, warrants liability and investments in equity securities</w:t>
      </w:r>
      <w:r>
        <w:rPr>
          <w:rFonts w:eastAsia="Times New Roman"/>
          <w:color w:val="000000"/>
          <w:sz w:val="20"/>
          <w:szCs w:val="20"/>
        </w:rPr>
        <w:t>.</w:t>
      </w:r>
    </w:p>
    <w:p w:rsidR="00000000" w:rsidRDefault="007258AD">
      <w:pPr>
        <w:jc w:val="both"/>
        <w:divId w:val="1074624708"/>
        <w:rPr>
          <w:rFonts w:eastAsia="Times New Roman"/>
        </w:rPr>
      </w:pPr>
      <w:r>
        <w:rPr>
          <w:rFonts w:eastAsia="Times New Roman"/>
          <w:color w:val="000000"/>
          <w:sz w:val="20"/>
          <w:szCs w:val="20"/>
        </w:rPr>
        <w:t>Our use of</w:t>
      </w:r>
      <w:r>
        <w:rPr>
          <w:rFonts w:eastAsia="Times New Roman"/>
          <w:color w:val="000000"/>
          <w:sz w:val="20"/>
          <w:szCs w:val="20"/>
        </w:rPr>
        <w:t xml:space="preserve"> these non-GAAP financial measures has limitations as an analytical tool, and investors should not consider these measures in isolation or as a substitute for analysis of our results as reported under GAAP. The limitations of such non-GAAP measures include</w:t>
      </w:r>
      <w:r>
        <w:rPr>
          <w:rFonts w:eastAsia="Times New Roman"/>
          <w:color w:val="000000"/>
          <w:sz w:val="20"/>
          <w:szCs w:val="20"/>
        </w:rPr>
        <w:t xml:space="preserve"> the following</w:t>
      </w:r>
      <w:r>
        <w:rPr>
          <w:rFonts w:eastAsia="Times New Roman"/>
          <w:color w:val="000000"/>
          <w:sz w:val="20"/>
          <w:szCs w:val="20"/>
        </w:rPr>
        <w:t>:</w:t>
      </w:r>
    </w:p>
    <w:p w:rsidR="00000000" w:rsidRDefault="007258AD">
      <w:pPr>
        <w:ind w:hanging="540"/>
        <w:jc w:val="both"/>
        <w:divId w:val="706024445"/>
        <w:rPr>
          <w:rFonts w:eastAsia="Times New Roman"/>
        </w:rPr>
      </w:pPr>
      <w:r>
        <w:rPr>
          <w:rFonts w:eastAsia="Times New Roman"/>
          <w:color w:val="000000"/>
          <w:sz w:val="20"/>
          <w:szCs w:val="20"/>
        </w:rPr>
        <w:t>•</w:t>
      </w:r>
      <w:r>
        <w:rPr>
          <w:rFonts w:eastAsia="Times New Roman"/>
          <w:color w:val="000000"/>
          <w:sz w:val="20"/>
          <w:szCs w:val="20"/>
        </w:rPr>
        <w:t>Adjusted EBITDA does not reflect tax or interest payments that represent a reduction in cash available to us (or, in the case of interest paid in Common Stock, that represent additional dilution to our existing stockholders)</w:t>
      </w:r>
      <w:r>
        <w:rPr>
          <w:rFonts w:eastAsia="Times New Roman"/>
          <w:color w:val="000000"/>
          <w:sz w:val="20"/>
          <w:szCs w:val="20"/>
        </w:rPr>
        <w:t>;</w:t>
      </w:r>
    </w:p>
    <w:p w:rsidR="00000000" w:rsidRDefault="007258AD">
      <w:pPr>
        <w:ind w:hanging="540"/>
        <w:jc w:val="both"/>
        <w:divId w:val="1899824479"/>
        <w:rPr>
          <w:rFonts w:eastAsia="Times New Roman"/>
        </w:rPr>
      </w:pPr>
      <w:r>
        <w:rPr>
          <w:rFonts w:eastAsia="Times New Roman"/>
          <w:color w:val="000000"/>
          <w:sz w:val="20"/>
          <w:szCs w:val="20"/>
        </w:rPr>
        <w:t>•</w:t>
      </w:r>
      <w:r>
        <w:rPr>
          <w:rFonts w:eastAsia="Times New Roman"/>
          <w:color w:val="000000"/>
          <w:sz w:val="20"/>
          <w:szCs w:val="20"/>
        </w:rPr>
        <w:t>Depreciation</w:t>
      </w:r>
      <w:r>
        <w:rPr>
          <w:rFonts w:eastAsia="Times New Roman"/>
          <w:color w:val="000000"/>
          <w:sz w:val="20"/>
          <w:szCs w:val="20"/>
        </w:rPr>
        <w:t xml:space="preserve"> and amortization are non-cash charges and the assets being depreciated may have to be replaced in the future. Adjusted EBITDA does not reflect cash capital expenditure requirements for such replacements or for new capital expenditure requirements</w:t>
      </w:r>
      <w:r>
        <w:rPr>
          <w:rFonts w:eastAsia="Times New Roman"/>
          <w:color w:val="000000"/>
          <w:sz w:val="20"/>
          <w:szCs w:val="20"/>
        </w:rPr>
        <w:t>;</w:t>
      </w:r>
    </w:p>
    <w:p w:rsidR="00000000" w:rsidRDefault="007258AD">
      <w:pPr>
        <w:ind w:hanging="540"/>
        <w:jc w:val="both"/>
        <w:divId w:val="581723958"/>
        <w:rPr>
          <w:rFonts w:eastAsia="Times New Roman"/>
        </w:rPr>
      </w:pPr>
      <w:r>
        <w:rPr>
          <w:rFonts w:eastAsia="Times New Roman"/>
          <w:color w:val="000000"/>
          <w:sz w:val="20"/>
          <w:szCs w:val="20"/>
        </w:rPr>
        <w:t>•</w:t>
      </w:r>
      <w:r>
        <w:rPr>
          <w:rFonts w:eastAsia="Times New Roman"/>
          <w:color w:val="000000"/>
          <w:sz w:val="20"/>
          <w:szCs w:val="20"/>
        </w:rPr>
        <w:t>Adjust</w:t>
      </w:r>
      <w:r>
        <w:rPr>
          <w:rFonts w:eastAsia="Times New Roman"/>
          <w:color w:val="000000"/>
          <w:sz w:val="20"/>
          <w:szCs w:val="20"/>
        </w:rPr>
        <w:t>ed EBITDA does not reflect changes in, or cash requirements for, our working capital needs</w:t>
      </w:r>
      <w:r>
        <w:rPr>
          <w:rFonts w:eastAsia="Times New Roman"/>
          <w:color w:val="000000"/>
          <w:sz w:val="20"/>
          <w:szCs w:val="20"/>
        </w:rPr>
        <w:t>;</w:t>
      </w:r>
    </w:p>
    <w:p w:rsidR="00000000" w:rsidRDefault="007258AD">
      <w:pPr>
        <w:jc w:val="center"/>
        <w:divId w:val="947393090"/>
        <w:rPr>
          <w:rFonts w:eastAsia="Times New Roman"/>
        </w:rPr>
      </w:pPr>
      <w:r>
        <w:rPr>
          <w:rFonts w:eastAsia="Times New Roman"/>
          <w:color w:val="000000"/>
          <w:sz w:val="20"/>
          <w:szCs w:val="20"/>
        </w:rPr>
        <w:t>2</w:t>
      </w:r>
      <w:r>
        <w:rPr>
          <w:rFonts w:eastAsia="Times New Roman"/>
          <w:color w:val="000000"/>
          <w:sz w:val="20"/>
          <w:szCs w:val="20"/>
        </w:rPr>
        <w:t>8</w:t>
      </w:r>
    </w:p>
    <w:p w:rsidR="00000000" w:rsidRDefault="007258AD">
      <w:pPr>
        <w:rPr>
          <w:rFonts w:eastAsia="Times New Roman"/>
        </w:rPr>
      </w:pPr>
      <w:r>
        <w:rPr>
          <w:rFonts w:eastAsia="Times New Roman"/>
        </w:rPr>
        <w:pict>
          <v:rect id="_x0000_i1055" style="width:0;height:1.5pt" o:hralign="center" o:hrstd="t" o:hr="t" fillcolor="#a0a0a0" stroked="f"/>
        </w:pict>
      </w:r>
    </w:p>
    <w:p w:rsidR="00000000" w:rsidRDefault="007258AD">
      <w:pPr>
        <w:jc w:val="both"/>
        <w:divId w:val="82805568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828055681"/>
        <w:rPr>
          <w:rFonts w:eastAsia="Times New Roman"/>
        </w:rPr>
      </w:pPr>
    </w:p>
    <w:p w:rsidR="00000000" w:rsidRDefault="007258AD">
      <w:pPr>
        <w:ind w:hanging="540"/>
        <w:jc w:val="both"/>
        <w:divId w:val="262763414"/>
        <w:rPr>
          <w:rFonts w:eastAsia="Times New Roman"/>
        </w:rPr>
      </w:pPr>
      <w:r>
        <w:rPr>
          <w:rFonts w:eastAsia="Times New Roman"/>
          <w:color w:val="000000"/>
          <w:sz w:val="20"/>
          <w:szCs w:val="20"/>
        </w:rPr>
        <w:t>•</w:t>
      </w:r>
      <w:r>
        <w:rPr>
          <w:rFonts w:eastAsia="Times New Roman"/>
          <w:color w:val="000000"/>
          <w:sz w:val="20"/>
          <w:szCs w:val="20"/>
        </w:rPr>
        <w:t>Adjusted EBITDA and non-GAAP net loss do not reflect cash payments relating to fees incurred in connection with issuance of equity securities</w:t>
      </w:r>
      <w:r>
        <w:rPr>
          <w:rFonts w:eastAsia="Times New Roman"/>
          <w:color w:val="000000"/>
          <w:sz w:val="20"/>
          <w:szCs w:val="20"/>
        </w:rPr>
        <w:t>, restructuring, litigation and the prior-year Audit Committee investigation, such as litigation and investigation-related costs, costs associated with tax projects, audits and other professional, consulting or other fees incurred in connection with our pr</w:t>
      </w:r>
      <w:r>
        <w:rPr>
          <w:rFonts w:eastAsia="Times New Roman"/>
          <w:color w:val="000000"/>
          <w:sz w:val="20"/>
          <w:szCs w:val="20"/>
        </w:rPr>
        <w:t>ior-year audits and certain legal proceedings, all of which have represented a reduction in cash available to us</w:t>
      </w:r>
      <w:r>
        <w:rPr>
          <w:rFonts w:eastAsia="Times New Roman"/>
          <w:color w:val="000000"/>
          <w:sz w:val="20"/>
          <w:szCs w:val="20"/>
        </w:rPr>
        <w:t>;</w:t>
      </w:r>
    </w:p>
    <w:p w:rsidR="00000000" w:rsidRDefault="007258AD">
      <w:pPr>
        <w:ind w:hanging="540"/>
        <w:jc w:val="both"/>
        <w:divId w:val="1704673822"/>
        <w:rPr>
          <w:rFonts w:eastAsia="Times New Roman"/>
        </w:rPr>
      </w:pPr>
      <w:r>
        <w:rPr>
          <w:rFonts w:eastAsia="Times New Roman"/>
          <w:color w:val="000000"/>
          <w:sz w:val="20"/>
          <w:szCs w:val="20"/>
        </w:rPr>
        <w:t>•</w:t>
      </w:r>
      <w:r>
        <w:rPr>
          <w:rFonts w:eastAsia="Times New Roman"/>
          <w:color w:val="000000"/>
          <w:sz w:val="20"/>
          <w:szCs w:val="20"/>
        </w:rPr>
        <w:t>Adjusted EBITDA and non-GAAP net loss do not consider the impact of stock-based compensation and similar arrangements that represent dilution</w:t>
      </w:r>
      <w:r>
        <w:rPr>
          <w:rFonts w:eastAsia="Times New Roman"/>
          <w:color w:val="000000"/>
          <w:sz w:val="20"/>
          <w:szCs w:val="20"/>
        </w:rPr>
        <w:t xml:space="preserve"> to our existing stockholders;</w:t>
      </w:r>
      <w:r>
        <w:rPr>
          <w:rFonts w:eastAsia="Times New Roman"/>
          <w:color w:val="000000"/>
          <w:sz w:val="20"/>
          <w:szCs w:val="20"/>
        </w:rPr>
        <w:t xml:space="preserve"> </w:t>
      </w:r>
    </w:p>
    <w:p w:rsidR="00000000" w:rsidRDefault="007258AD">
      <w:pPr>
        <w:ind w:hanging="540"/>
        <w:jc w:val="both"/>
        <w:divId w:val="87237571"/>
        <w:rPr>
          <w:rFonts w:eastAsia="Times New Roman"/>
        </w:rPr>
      </w:pPr>
      <w:r>
        <w:rPr>
          <w:rFonts w:eastAsia="Times New Roman"/>
          <w:color w:val="000000"/>
          <w:sz w:val="20"/>
          <w:szCs w:val="20"/>
        </w:rPr>
        <w:t>•</w:t>
      </w:r>
      <w:r>
        <w:rPr>
          <w:rFonts w:eastAsia="Times New Roman"/>
          <w:color w:val="000000"/>
          <w:sz w:val="20"/>
          <w:szCs w:val="20"/>
        </w:rPr>
        <w:t>Adjusted EBITDA and non-GAAP net loss do not consider impairment of goodwill, long-lived assets and right-of-use assets, which represents a decline in the value of our assets</w:t>
      </w:r>
      <w:r>
        <w:rPr>
          <w:rFonts w:eastAsia="Times New Roman"/>
          <w:color w:val="000000"/>
          <w:sz w:val="20"/>
          <w:szCs w:val="20"/>
        </w:rPr>
        <w:t>;</w:t>
      </w:r>
    </w:p>
    <w:p w:rsidR="00000000" w:rsidRDefault="007258AD">
      <w:pPr>
        <w:ind w:hanging="540"/>
        <w:jc w:val="both"/>
        <w:divId w:val="332689708"/>
        <w:rPr>
          <w:rFonts w:eastAsia="Times New Roman"/>
        </w:rPr>
      </w:pPr>
      <w:r>
        <w:rPr>
          <w:rFonts w:eastAsia="Times New Roman"/>
          <w:color w:val="000000"/>
          <w:sz w:val="20"/>
          <w:szCs w:val="20"/>
        </w:rPr>
        <w:t>•</w:t>
      </w:r>
      <w:r>
        <w:rPr>
          <w:rFonts w:eastAsia="Times New Roman"/>
          <w:color w:val="000000"/>
          <w:sz w:val="20"/>
          <w:szCs w:val="20"/>
        </w:rPr>
        <w:t>Adjusted EBITDA and non-GAAP net loss do not c</w:t>
      </w:r>
      <w:r>
        <w:rPr>
          <w:rFonts w:eastAsia="Times New Roman"/>
          <w:color w:val="000000"/>
          <w:sz w:val="20"/>
          <w:szCs w:val="20"/>
        </w:rPr>
        <w:t>onsider possible cash gains or losses related to our financing derivatives, warrants liability or investment in equity securities; an</w:t>
      </w:r>
      <w:r>
        <w:rPr>
          <w:rFonts w:eastAsia="Times New Roman"/>
          <w:color w:val="000000"/>
          <w:sz w:val="20"/>
          <w:szCs w:val="20"/>
        </w:rPr>
        <w:t>d</w:t>
      </w:r>
    </w:p>
    <w:p w:rsidR="00000000" w:rsidRDefault="007258AD">
      <w:pPr>
        <w:ind w:hanging="540"/>
        <w:jc w:val="both"/>
        <w:divId w:val="1406491693"/>
        <w:rPr>
          <w:rFonts w:eastAsia="Times New Roman"/>
        </w:rPr>
      </w:pPr>
      <w:r>
        <w:rPr>
          <w:rFonts w:eastAsia="Times New Roman"/>
          <w:color w:val="000000"/>
          <w:sz w:val="20"/>
          <w:szCs w:val="20"/>
        </w:rPr>
        <w:t>•</w:t>
      </w:r>
      <w:r>
        <w:rPr>
          <w:rFonts w:eastAsia="Times New Roman"/>
          <w:color w:val="000000"/>
          <w:sz w:val="20"/>
          <w:szCs w:val="20"/>
        </w:rPr>
        <w:t>Other companies, including companies in our industry, may calculate any of these non-GAAP financial measures differently, which reduces their usefulness as comparative measures</w:t>
      </w:r>
      <w:r>
        <w:rPr>
          <w:rFonts w:eastAsia="Times New Roman"/>
          <w:color w:val="000000"/>
          <w:sz w:val="20"/>
          <w:szCs w:val="20"/>
        </w:rPr>
        <w:t>.</w:t>
      </w:r>
    </w:p>
    <w:p w:rsidR="00000000" w:rsidRDefault="007258AD">
      <w:pPr>
        <w:jc w:val="both"/>
        <w:divId w:val="1029834331"/>
        <w:rPr>
          <w:rFonts w:eastAsia="Times New Roman"/>
        </w:rPr>
      </w:pPr>
      <w:r>
        <w:rPr>
          <w:rFonts w:eastAsia="Times New Roman"/>
          <w:color w:val="000000"/>
          <w:sz w:val="20"/>
          <w:szCs w:val="20"/>
        </w:rPr>
        <w:t>Because of these and other limitations, you should consider Adjusted EBITDA an</w:t>
      </w:r>
      <w:r>
        <w:rPr>
          <w:rFonts w:eastAsia="Times New Roman"/>
          <w:color w:val="000000"/>
          <w:sz w:val="20"/>
          <w:szCs w:val="20"/>
        </w:rPr>
        <w:t>d non-GAAP net loss alongside GAAP-based financial performance measures, including GAAP revenue and various cash flow metrics, net income (loss) and our other GAAP financial results. Management addresses the inherent limitations associated with using non-G</w:t>
      </w:r>
      <w:r>
        <w:rPr>
          <w:rFonts w:eastAsia="Times New Roman"/>
          <w:color w:val="000000"/>
          <w:sz w:val="20"/>
          <w:szCs w:val="20"/>
        </w:rPr>
        <w:t>AAP financial measures through disclosure of such limitations, presentation of our financial statements in accordance with GAAP and a reconciliation of Adjusted EBITDA and non-GAAP net loss to the most directly comparable GAAP measure, net income (loss).</w:t>
      </w:r>
      <w:r>
        <w:rPr>
          <w:rFonts w:eastAsia="Times New Roman"/>
          <w:color w:val="000000"/>
          <w:sz w:val="20"/>
          <w:szCs w:val="20"/>
        </w:rPr>
        <w:t xml:space="preserve"> </w:t>
      </w:r>
    </w:p>
    <w:p w:rsidR="00000000" w:rsidRDefault="007258AD">
      <w:pPr>
        <w:jc w:val="both"/>
        <w:divId w:val="1581256397"/>
        <w:rPr>
          <w:rFonts w:eastAsia="Times New Roman"/>
        </w:rPr>
      </w:pPr>
      <w:r>
        <w:rPr>
          <w:rFonts w:eastAsia="Times New Roman"/>
          <w:color w:val="000000"/>
          <w:sz w:val="20"/>
          <w:szCs w:val="20"/>
        </w:rPr>
        <w:t>Under our Notes, we are required to disclose Consolidated EBITDA, a non-GAAP financial measure, on a quarterly basis. Consolidated EBITDA, as defined for purposes of the Notes, was the same as Adjusted EBITDA as presented below</w:t>
      </w:r>
      <w:r>
        <w:rPr>
          <w:rFonts w:eastAsia="Times New Roman"/>
          <w:color w:val="000000"/>
          <w:sz w:val="20"/>
          <w:szCs w:val="20"/>
        </w:rPr>
        <w:t>.</w:t>
      </w:r>
    </w:p>
    <w:p w:rsidR="00000000" w:rsidRDefault="007258AD">
      <w:pPr>
        <w:jc w:val="both"/>
        <w:divId w:val="1684867069"/>
        <w:rPr>
          <w:rFonts w:eastAsia="Times New Roman"/>
        </w:rPr>
      </w:pPr>
      <w:r>
        <w:rPr>
          <w:rFonts w:eastAsia="Times New Roman"/>
          <w:color w:val="000000"/>
          <w:sz w:val="20"/>
          <w:szCs w:val="20"/>
        </w:rPr>
        <w:t>The following table present</w:t>
      </w:r>
      <w:r>
        <w:rPr>
          <w:rFonts w:eastAsia="Times New Roman"/>
          <w:color w:val="000000"/>
          <w:sz w:val="20"/>
          <w:szCs w:val="20"/>
        </w:rPr>
        <w:t>s a reconciliation of net loss (GAAP) to Adjusted EBITDA for each of the periods identified:</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60"/>
        <w:gridCol w:w="38"/>
        <w:gridCol w:w="125"/>
        <w:gridCol w:w="812"/>
        <w:gridCol w:w="80"/>
        <w:gridCol w:w="36"/>
        <w:gridCol w:w="36"/>
        <w:gridCol w:w="36"/>
        <w:gridCol w:w="125"/>
        <w:gridCol w:w="827"/>
        <w:gridCol w:w="80"/>
        <w:gridCol w:w="36"/>
        <w:gridCol w:w="36"/>
        <w:gridCol w:w="36"/>
        <w:gridCol w:w="125"/>
        <w:gridCol w:w="827"/>
        <w:gridCol w:w="80"/>
        <w:gridCol w:w="36"/>
        <w:gridCol w:w="36"/>
        <w:gridCol w:w="36"/>
        <w:gridCol w:w="125"/>
        <w:gridCol w:w="827"/>
        <w:gridCol w:w="80"/>
        <w:gridCol w:w="36"/>
        <w:gridCol w:w="36"/>
        <w:gridCol w:w="36"/>
        <w:gridCol w:w="36"/>
        <w:gridCol w:w="36"/>
        <w:gridCol w:w="36"/>
        <w:gridCol w:w="36"/>
        <w:gridCol w:w="36"/>
        <w:gridCol w:w="36"/>
        <w:gridCol w:w="36"/>
        <w:gridCol w:w="36"/>
        <w:gridCol w:w="36"/>
      </w:tblGrid>
      <w:tr w:rsidR="00000000">
        <w:trPr>
          <w:gridAfter w:val="12"/>
          <w:divId w:val="1119296903"/>
          <w:jc w:val="center"/>
        </w:trPr>
        <w:tc>
          <w:tcPr>
            <w:tcW w:w="50" w:type="pct"/>
            <w:vAlign w:val="center"/>
            <w:hideMark/>
          </w:tcPr>
          <w:p w:rsidR="00000000" w:rsidRDefault="007258AD">
            <w:pPr>
              <w:jc w:val="both"/>
              <w:rPr>
                <w:rFonts w:eastAsia="Times New Roman"/>
              </w:rPr>
            </w:pPr>
          </w:p>
        </w:tc>
        <w:tc>
          <w:tcPr>
            <w:tcW w:w="217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119296903"/>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119296903"/>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Net loss (GAAP</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(10,401</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(279,533</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(23,585</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(307,047</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Interest expense,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8,856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8,242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17,702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15,001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intangible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16,181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Depreciatio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3,404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3,005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6,788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6,111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expense of finance lease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Income tax benefi</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(4,463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EBITD</w:t>
            </w:r>
            <w:r>
              <w:rPr>
                <w:rFonts w:eastAsia="Times New Roman"/>
                <w:color w:val="000000"/>
                <w:sz w:val="18"/>
                <w:szCs w:val="18"/>
              </w:rPr>
              <w:t>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8,435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(263,886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14,374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(271,685</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Adjustments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Stock-based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Investigation and audit related</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Settlement of certain litigation,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Restructurin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goodwil</w:t>
            </w:r>
            <w:r>
              <w:rPr>
                <w:rFonts w:eastAsia="Times New Roman"/>
                <w:color w:val="000000"/>
                <w:sz w:val="18"/>
                <w:szCs w:val="18"/>
              </w:rPr>
              <w:t>l</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intangible asse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Private placement issuance cost</w:t>
            </w:r>
            <w:r>
              <w:rPr>
                <w:rFonts w:eastAsia="Times New Roman"/>
                <w:color w:val="000000"/>
                <w:sz w:val="18"/>
                <w:szCs w:val="18"/>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right-of-use and long-lived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31003274"/>
              <w:rPr>
                <w:rFonts w:eastAsia="Times New Roman"/>
              </w:rPr>
            </w:pPr>
            <w:r>
              <w:rPr>
                <w:rFonts w:eastAsia="Times New Roman"/>
                <w:color w:val="000000"/>
                <w:sz w:val="18"/>
                <w:szCs w:val="18"/>
              </w:rPr>
              <w:t>Other (income) expense, net</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(8,434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119296903"/>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Adjusted EBITDA</w:t>
            </w:r>
            <w:r>
              <w:rPr>
                <w:rFonts w:eastAsia="Times New Roman"/>
                <w:color w:val="000000"/>
                <w:sz w:val="18"/>
                <w:szCs w:val="18"/>
              </w:rPr>
              <w:t xml:space="preserve">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9,239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(3,241</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15,615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(5,703</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503811950"/>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xml:space="preserve"> Adjustments to other (income) expense, net reflect non-cash changes in the fai</w:t>
      </w:r>
      <w:r>
        <w:rPr>
          <w:rFonts w:eastAsia="Times New Roman"/>
          <w:i/>
          <w:iCs/>
          <w:color w:val="000000"/>
          <w:sz w:val="16"/>
          <w:szCs w:val="16"/>
        </w:rPr>
        <w:t>r value of financing derivatives, warrants liability and equity securities investment included in other income (expense), net and certain legal expenses defined by the Notes and classified as general and administrative expenses on our Condensed Consolidate</w:t>
      </w:r>
      <w:r>
        <w:rPr>
          <w:rFonts w:eastAsia="Times New Roman"/>
          <w:i/>
          <w:iCs/>
          <w:color w:val="000000"/>
          <w:sz w:val="16"/>
          <w:szCs w:val="16"/>
        </w:rPr>
        <w:t>d Statements of Operations and Comprehensive Loss. We sold our investment in equity securities in 2019.</w:t>
      </w:r>
      <w:r>
        <w:rPr>
          <w:rFonts w:eastAsia="Times New Roman"/>
          <w:i/>
          <w:iCs/>
          <w:color w:val="000000"/>
          <w:sz w:val="16"/>
          <w:szCs w:val="16"/>
        </w:rPr>
        <w:t xml:space="preserve"> </w:t>
      </w:r>
    </w:p>
    <w:p w:rsidR="00000000" w:rsidRDefault="007258AD">
      <w:pPr>
        <w:jc w:val="center"/>
        <w:divId w:val="1732196926"/>
        <w:rPr>
          <w:rFonts w:eastAsia="Times New Roman"/>
        </w:rPr>
      </w:pPr>
      <w:r>
        <w:rPr>
          <w:rFonts w:eastAsia="Times New Roman"/>
          <w:color w:val="000000"/>
          <w:sz w:val="20"/>
          <w:szCs w:val="20"/>
        </w:rPr>
        <w:t>2</w:t>
      </w:r>
      <w:r>
        <w:rPr>
          <w:rFonts w:eastAsia="Times New Roman"/>
          <w:color w:val="000000"/>
          <w:sz w:val="20"/>
          <w:szCs w:val="20"/>
        </w:rPr>
        <w:t>9</w:t>
      </w:r>
    </w:p>
    <w:p w:rsidR="00000000" w:rsidRDefault="007258AD">
      <w:pPr>
        <w:rPr>
          <w:rFonts w:eastAsia="Times New Roman"/>
        </w:rPr>
      </w:pPr>
      <w:r>
        <w:rPr>
          <w:rFonts w:eastAsia="Times New Roman"/>
        </w:rPr>
        <w:pict>
          <v:rect id="_x0000_i1056" style="width:0;height:1.5pt" o:hralign="center" o:hrstd="t" o:hr="t" fillcolor="#a0a0a0" stroked="f"/>
        </w:pict>
      </w:r>
    </w:p>
    <w:p w:rsidR="00000000" w:rsidRDefault="007258AD">
      <w:pPr>
        <w:jc w:val="both"/>
        <w:divId w:val="1391150458"/>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391150458"/>
        <w:rPr>
          <w:rFonts w:eastAsia="Times New Roman"/>
        </w:rPr>
      </w:pPr>
    </w:p>
    <w:p w:rsidR="00000000" w:rsidRDefault="007258AD">
      <w:pPr>
        <w:jc w:val="both"/>
        <w:divId w:val="1711152265"/>
        <w:rPr>
          <w:rFonts w:eastAsia="Times New Roman"/>
        </w:rPr>
      </w:pPr>
      <w:r>
        <w:rPr>
          <w:rFonts w:eastAsia="Times New Roman"/>
          <w:color w:val="000000"/>
          <w:sz w:val="20"/>
          <w:szCs w:val="20"/>
        </w:rPr>
        <w:t>The following table presents a reconciliation of net loss (GAAP) to non-GAAP net loss for each of the periods identified</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359"/>
        <w:gridCol w:w="39"/>
        <w:gridCol w:w="125"/>
        <w:gridCol w:w="811"/>
        <w:gridCol w:w="80"/>
        <w:gridCol w:w="36"/>
        <w:gridCol w:w="36"/>
        <w:gridCol w:w="36"/>
        <w:gridCol w:w="125"/>
        <w:gridCol w:w="827"/>
        <w:gridCol w:w="80"/>
        <w:gridCol w:w="36"/>
        <w:gridCol w:w="36"/>
        <w:gridCol w:w="36"/>
        <w:gridCol w:w="125"/>
        <w:gridCol w:w="827"/>
        <w:gridCol w:w="80"/>
        <w:gridCol w:w="36"/>
        <w:gridCol w:w="36"/>
        <w:gridCol w:w="36"/>
        <w:gridCol w:w="125"/>
        <w:gridCol w:w="827"/>
        <w:gridCol w:w="80"/>
        <w:gridCol w:w="36"/>
        <w:gridCol w:w="36"/>
        <w:gridCol w:w="36"/>
        <w:gridCol w:w="36"/>
        <w:gridCol w:w="36"/>
        <w:gridCol w:w="36"/>
        <w:gridCol w:w="36"/>
        <w:gridCol w:w="36"/>
        <w:gridCol w:w="36"/>
        <w:gridCol w:w="36"/>
        <w:gridCol w:w="36"/>
        <w:gridCol w:w="36"/>
      </w:tblGrid>
      <w:tr w:rsidR="00000000">
        <w:trPr>
          <w:gridAfter w:val="12"/>
          <w:divId w:val="1322344415"/>
          <w:jc w:val="center"/>
        </w:trPr>
        <w:tc>
          <w:tcPr>
            <w:tcW w:w="50" w:type="pct"/>
            <w:vAlign w:val="center"/>
            <w:hideMark/>
          </w:tcPr>
          <w:p w:rsidR="00000000" w:rsidRDefault="007258AD">
            <w:pPr>
              <w:jc w:val="both"/>
              <w:rPr>
                <w:rFonts w:eastAsia="Times New Roman"/>
              </w:rPr>
            </w:pPr>
          </w:p>
        </w:tc>
        <w:tc>
          <w:tcPr>
            <w:tcW w:w="2177"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322344415"/>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258AD">
            <w:pPr>
              <w:jc w:val="center"/>
              <w:rPr>
                <w:rFonts w:eastAsia="Times New Roman"/>
              </w:rPr>
            </w:pPr>
          </w:p>
        </w:tc>
        <w:tc>
          <w:tcPr>
            <w:tcW w:w="0" w:type="auto"/>
            <w:gridSpan w:val="3"/>
            <w:vAlign w:val="center"/>
            <w:hideMark/>
          </w:tcPr>
          <w:p w:rsidR="00000000" w:rsidRDefault="007258AD">
            <w:pPr>
              <w:rPr>
                <w:rFonts w:eastAsia="Times New Roman"/>
                <w:sz w:val="20"/>
                <w:szCs w:val="20"/>
              </w:rPr>
            </w:pPr>
          </w:p>
        </w:tc>
      </w:tr>
      <w:tr w:rsidR="00000000">
        <w:trPr>
          <w:divId w:val="1322344415"/>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8"/>
                <w:szCs w:val="18"/>
              </w:rPr>
              <w:t>Net loss (GAAP</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(10,401</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(279,533</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(23,585</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b/>
                <w:bCs/>
                <w:color w:val="000000"/>
                <w:sz w:val="18"/>
                <w:szCs w:val="18"/>
              </w:rPr>
              <w:t>(307,047</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b/>
                <w:bCs/>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Adjustments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Amortization of intangible assets</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8,076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13,764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16,181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Stock-based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4,304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Investigation and audit related</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2,354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3,196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right-of-use and long-lived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4,671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Settlement of certain litigation,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Restructurin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vAlign w:val="center"/>
            <w:hideMark/>
          </w:tcPr>
          <w:p w:rsidR="00000000" w:rsidRDefault="007258AD">
            <w:pPr>
              <w:jc w:val="right"/>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goodwil</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224,272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Impairment of intangible asse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17,308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25" w:type="dxa"/>
              <w:bottom w:w="30" w:type="dxa"/>
              <w:right w:w="20" w:type="dxa"/>
            </w:tcMar>
            <w:vAlign w:val="bottom"/>
            <w:hideMark/>
          </w:tcPr>
          <w:p w:rsidR="00000000" w:rsidRDefault="007258AD">
            <w:pPr>
              <w:rPr>
                <w:rFonts w:eastAsia="Times New Roman"/>
              </w:rPr>
            </w:pPr>
            <w:r>
              <w:rPr>
                <w:rFonts w:eastAsia="Times New Roman"/>
                <w:color w:val="000000"/>
                <w:sz w:val="18"/>
                <w:szCs w:val="18"/>
              </w:rPr>
              <w:t>Private placement issuance cos</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1,154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234006956"/>
              <w:rPr>
                <w:rFonts w:eastAsia="Times New Roman"/>
              </w:rPr>
            </w:pPr>
            <w:r>
              <w:rPr>
                <w:rFonts w:eastAsia="Times New Roman"/>
                <w:color w:val="000000"/>
                <w:sz w:val="18"/>
                <w:szCs w:val="18"/>
              </w:rPr>
              <w:t>Other (income) expense, net</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(1,542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(8,434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322344415"/>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Non-GAAP net los</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(2,751</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(10,812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(8,580</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(24,884</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340552383"/>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w:t>
      </w:r>
      <w:r>
        <w:rPr>
          <w:rFonts w:eastAsia="Times New Roman"/>
          <w:i/>
          <w:iCs/>
          <w:color w:val="000000"/>
          <w:sz w:val="16"/>
          <w:szCs w:val="16"/>
        </w:rPr>
        <w:t xml:space="preserve"> Adjustments to other (income) expense, net reflect non-cash changes in the fair value of financing derivatives, warrants</w:t>
      </w:r>
      <w:r>
        <w:rPr>
          <w:rFonts w:eastAsia="Times New Roman"/>
          <w:i/>
          <w:iCs/>
          <w:color w:val="000000"/>
          <w:sz w:val="16"/>
          <w:szCs w:val="16"/>
        </w:rPr>
        <w:t xml:space="preserve"> liability and equity securities investment included in other income (expense), net and certain legal expenses defined by the Notes and classified as general and administrative expenses on our Condensed Consolidated Statements of Operations and Comprehensi</w:t>
      </w:r>
      <w:r>
        <w:rPr>
          <w:rFonts w:eastAsia="Times New Roman"/>
          <w:i/>
          <w:iCs/>
          <w:color w:val="000000"/>
          <w:sz w:val="16"/>
          <w:szCs w:val="16"/>
        </w:rPr>
        <w:t>ve Loss. We sold our investment in equity securities in 2019</w:t>
      </w:r>
      <w:r>
        <w:rPr>
          <w:rFonts w:eastAsia="Times New Roman"/>
          <w:i/>
          <w:iCs/>
          <w:color w:val="000000"/>
          <w:sz w:val="16"/>
          <w:szCs w:val="16"/>
        </w:rPr>
        <w:t>.</w:t>
      </w:r>
    </w:p>
    <w:p w:rsidR="00000000" w:rsidRDefault="007258AD">
      <w:pPr>
        <w:jc w:val="both"/>
        <w:divId w:val="1076246844"/>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7258AD">
      <w:pPr>
        <w:jc w:val="both"/>
        <w:divId w:val="1254975745"/>
        <w:rPr>
          <w:rFonts w:eastAsia="Times New Roman"/>
        </w:rPr>
      </w:pPr>
      <w:r>
        <w:rPr>
          <w:rFonts w:eastAsia="Times New Roman"/>
          <w:color w:val="000000"/>
          <w:sz w:val="20"/>
          <w:szCs w:val="20"/>
        </w:rPr>
        <w:t>The following table summarizes our cash flows for each of the periods identified</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10"/>
        <w:gridCol w:w="37"/>
        <w:gridCol w:w="36"/>
        <w:gridCol w:w="36"/>
        <w:gridCol w:w="36"/>
        <w:gridCol w:w="125"/>
        <w:gridCol w:w="853"/>
        <w:gridCol w:w="80"/>
        <w:gridCol w:w="36"/>
        <w:gridCol w:w="36"/>
        <w:gridCol w:w="36"/>
        <w:gridCol w:w="125"/>
        <w:gridCol w:w="854"/>
        <w:gridCol w:w="80"/>
        <w:gridCol w:w="36"/>
        <w:gridCol w:w="36"/>
        <w:gridCol w:w="36"/>
        <w:gridCol w:w="36"/>
        <w:gridCol w:w="36"/>
        <w:gridCol w:w="36"/>
        <w:gridCol w:w="36"/>
        <w:gridCol w:w="36"/>
      </w:tblGrid>
      <w:tr w:rsidR="00000000">
        <w:trPr>
          <w:gridAfter w:val="6"/>
          <w:divId w:val="1792550409"/>
          <w:jc w:val="center"/>
        </w:trPr>
        <w:tc>
          <w:tcPr>
            <w:tcW w:w="50" w:type="pct"/>
            <w:vAlign w:val="center"/>
            <w:hideMark/>
          </w:tcPr>
          <w:p w:rsidR="00000000" w:rsidRDefault="007258AD">
            <w:pPr>
              <w:jc w:val="both"/>
              <w:rPr>
                <w:rFonts w:eastAsia="Times New Roman"/>
              </w:rPr>
            </w:pPr>
          </w:p>
        </w:tc>
        <w:tc>
          <w:tcPr>
            <w:tcW w:w="352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9"/>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1792550409"/>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258AD">
            <w:pPr>
              <w:jc w:val="cente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operating activitie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(1,792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(10,704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investing activitie</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(7,881</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(6,807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cash (used in) provided by financing activitie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(1,046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21,048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Effect of exchange rate changes on cash, cash equivalents and restricted cas</w:t>
            </w:r>
            <w:r>
              <w:rPr>
                <w:rFonts w:eastAsia="Times New Roman"/>
                <w:color w:val="000000"/>
                <w:sz w:val="18"/>
                <w:szCs w:val="18"/>
              </w:rPr>
              <w:t>h</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(544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1792550409"/>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Net (decrease) increase in cash, cash equivalents and restricted cas</w:t>
            </w:r>
            <w:r>
              <w:rPr>
                <w:rFonts w:eastAsia="Times New Roman"/>
                <w:color w:val="000000"/>
                <w:sz w:val="18"/>
                <w:szCs w:val="18"/>
              </w:rPr>
              <w:t>h</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(11,263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vAlign w:val="center"/>
            <w:hideMark/>
          </w:tcPr>
          <w:p w:rsidR="00000000" w:rsidRDefault="007258AD">
            <w:pPr>
              <w:jc w:val="right"/>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1163551243"/>
        <w:rPr>
          <w:rFonts w:eastAsia="Times New Roman"/>
        </w:rPr>
      </w:pPr>
      <w:r>
        <w:rPr>
          <w:rFonts w:eastAsia="Times New Roman"/>
          <w:color w:val="000000"/>
          <w:sz w:val="20"/>
          <w:szCs w:val="20"/>
        </w:rPr>
        <w:t>Our principal uses of cash historically consisted of cash paid for payroll and other operating expenses, payments related to investments in equipment, primarily to support our consumer panels and technical infrastructure required to deliver our products an</w:t>
      </w:r>
      <w:r>
        <w:rPr>
          <w:rFonts w:eastAsia="Times New Roman"/>
          <w:color w:val="000000"/>
          <w:sz w:val="20"/>
          <w:szCs w:val="20"/>
        </w:rPr>
        <w:t>d services and support our customers, and service of our debt and lease facilities. In prior years, we also incurred significant professional fees relating to our Audit Committee's investigation, subsequent audit and compliance efforts, as well as manageme</w:t>
      </w:r>
      <w:r>
        <w:rPr>
          <w:rFonts w:eastAsia="Times New Roman"/>
          <w:color w:val="000000"/>
          <w:sz w:val="20"/>
          <w:szCs w:val="20"/>
        </w:rPr>
        <w:t>nt changes and various legal proceedings</w:t>
      </w:r>
      <w:r>
        <w:rPr>
          <w:rFonts w:eastAsia="Times New Roman"/>
          <w:color w:val="000000"/>
          <w:sz w:val="20"/>
          <w:szCs w:val="20"/>
        </w:rPr>
        <w:t>.</w:t>
      </w:r>
    </w:p>
    <w:p w:rsidR="00000000" w:rsidRDefault="007258AD">
      <w:pPr>
        <w:jc w:val="both"/>
        <w:divId w:val="1471315731"/>
        <w:rPr>
          <w:rFonts w:eastAsia="Times New Roman"/>
        </w:rPr>
      </w:pPr>
      <w:r>
        <w:rPr>
          <w:rFonts w:eastAsia="Times New Roman"/>
          <w:color w:val="000000"/>
          <w:sz w:val="20"/>
          <w:szCs w:val="20"/>
        </w:rPr>
        <w:t>As of June 30, 2020, our principal sources of liquidity consisted of cash, cash equivalents and restricted cash totaling $55.5 million, including $19.6 million in restricted cash.</w:t>
      </w:r>
      <w:r>
        <w:rPr>
          <w:rFonts w:eastAsia="Times New Roman"/>
          <w:color w:val="000000"/>
          <w:sz w:val="20"/>
          <w:szCs w:val="20"/>
        </w:rPr>
        <w:t xml:space="preserve"> </w:t>
      </w:r>
    </w:p>
    <w:p w:rsidR="00000000" w:rsidRDefault="007258AD">
      <w:pPr>
        <w:jc w:val="both"/>
        <w:divId w:val="540097767"/>
        <w:rPr>
          <w:rFonts w:eastAsia="Times New Roman"/>
        </w:rPr>
      </w:pPr>
      <w:r>
        <w:rPr>
          <w:rFonts w:eastAsia="Times New Roman"/>
          <w:color w:val="000000"/>
          <w:sz w:val="20"/>
          <w:szCs w:val="20"/>
        </w:rPr>
        <w:t>Our principal sources of liquidit</w:t>
      </w:r>
      <w:r>
        <w:rPr>
          <w:rFonts w:eastAsia="Times New Roman"/>
          <w:color w:val="000000"/>
          <w:sz w:val="20"/>
          <w:szCs w:val="20"/>
        </w:rPr>
        <w:t>y have historically been our cash and cash equivalents, as well as cash flow generated from our operations. Our operating losses, including the significant investigation and audit costs in prior years, resulted in a need to secure long-term financing. In 2</w:t>
      </w:r>
      <w:r>
        <w:rPr>
          <w:rFonts w:eastAsia="Times New Roman"/>
          <w:color w:val="000000"/>
          <w:sz w:val="20"/>
          <w:szCs w:val="20"/>
        </w:rPr>
        <w:t>018, we entered into agreements with funds affiliated with or managed by Starboard Value LP (collectively, "Starboard"), pursuant to which we issued and sold to Starboard a total of $204.0 million in Notes as well as warrants to purchase shares of our Comm</w:t>
      </w:r>
      <w:r>
        <w:rPr>
          <w:rFonts w:eastAsia="Times New Roman"/>
          <w:color w:val="000000"/>
          <w:sz w:val="20"/>
          <w:szCs w:val="20"/>
        </w:rPr>
        <w:t>on Stock in exchange for $100.0 million in cash and 4,000,000 shares of Common Stock. See "Senior Secured Convertible Notes" below</w:t>
      </w:r>
      <w:r>
        <w:rPr>
          <w:rFonts w:eastAsia="Times New Roman"/>
          <w:color w:val="000000"/>
          <w:sz w:val="20"/>
          <w:szCs w:val="20"/>
        </w:rPr>
        <w:t>.</w:t>
      </w:r>
    </w:p>
    <w:p w:rsidR="00000000" w:rsidRDefault="007258AD">
      <w:pPr>
        <w:jc w:val="both"/>
        <w:divId w:val="1904099202"/>
        <w:rPr>
          <w:rFonts w:eastAsia="Times New Roman"/>
        </w:rPr>
      </w:pPr>
      <w:r>
        <w:rPr>
          <w:rFonts w:eastAsia="Times New Roman"/>
          <w:color w:val="000000"/>
          <w:sz w:val="20"/>
          <w:szCs w:val="20"/>
        </w:rPr>
        <w:t>In June 2019, we issued 2,728,513 shares of our Common Stock and four series of warrants in a private placement to CVI Inves</w:t>
      </w:r>
      <w:r>
        <w:rPr>
          <w:rFonts w:eastAsia="Times New Roman"/>
          <w:color w:val="000000"/>
          <w:sz w:val="20"/>
          <w:szCs w:val="20"/>
        </w:rPr>
        <w:t>tments, Inc. ("CVI") in exchange for gross cash proceeds of $20.0 million. See "Sale of Common Stock and Warrants" below</w:t>
      </w:r>
      <w:r>
        <w:rPr>
          <w:rFonts w:eastAsia="Times New Roman"/>
          <w:color w:val="000000"/>
          <w:sz w:val="20"/>
          <w:szCs w:val="20"/>
        </w:rPr>
        <w:t>.</w:t>
      </w:r>
    </w:p>
    <w:p w:rsidR="00000000" w:rsidRDefault="007258AD">
      <w:pPr>
        <w:jc w:val="both"/>
        <w:divId w:val="1960796666"/>
        <w:rPr>
          <w:rFonts w:eastAsia="Times New Roman"/>
        </w:rPr>
      </w:pPr>
      <w:r>
        <w:rPr>
          <w:rFonts w:eastAsia="Times New Roman"/>
          <w:color w:val="000000"/>
          <w:sz w:val="20"/>
          <w:szCs w:val="20"/>
        </w:rPr>
        <w:t>In December 2019, we issued a Secured Term Note for gross cash proceeds of $13.0 million. See "Secured Term Note" below</w:t>
      </w:r>
      <w:r>
        <w:rPr>
          <w:rFonts w:eastAsia="Times New Roman"/>
          <w:color w:val="000000"/>
          <w:sz w:val="20"/>
          <w:szCs w:val="20"/>
        </w:rPr>
        <w:t>.</w:t>
      </w:r>
    </w:p>
    <w:p w:rsidR="00000000" w:rsidRDefault="007258AD">
      <w:pPr>
        <w:jc w:val="both"/>
        <w:divId w:val="1657799894"/>
        <w:rPr>
          <w:rFonts w:eastAsia="Times New Roman"/>
        </w:rPr>
      </w:pPr>
      <w:r>
        <w:rPr>
          <w:rFonts w:eastAsia="Times New Roman"/>
          <w:color w:val="000000"/>
          <w:sz w:val="20"/>
          <w:szCs w:val="20"/>
        </w:rPr>
        <w:t>In January 20</w:t>
      </w:r>
      <w:r>
        <w:rPr>
          <w:rFonts w:eastAsia="Times New Roman"/>
          <w:color w:val="000000"/>
          <w:sz w:val="20"/>
          <w:szCs w:val="20"/>
        </w:rPr>
        <w:t>20, April 2020 and July 2020, we paid our quarterly accrued interest liability on the Notes in cash; the interest amount was accrued in short term liabilities as of December 31, 2019, March 31, 2020 and June 30, 2020, respectively</w:t>
      </w:r>
      <w:r>
        <w:rPr>
          <w:rFonts w:eastAsia="Times New Roman"/>
          <w:color w:val="000000"/>
          <w:sz w:val="20"/>
          <w:szCs w:val="20"/>
        </w:rPr>
        <w:t>.</w:t>
      </w:r>
    </w:p>
    <w:p w:rsidR="00000000" w:rsidRDefault="007258AD">
      <w:pPr>
        <w:jc w:val="center"/>
        <w:divId w:val="406728583"/>
        <w:rPr>
          <w:rFonts w:eastAsia="Times New Roman"/>
        </w:rPr>
      </w:pPr>
      <w:r>
        <w:rPr>
          <w:rFonts w:eastAsia="Times New Roman"/>
          <w:color w:val="000000"/>
          <w:sz w:val="20"/>
          <w:szCs w:val="20"/>
        </w:rPr>
        <w:t>3</w:t>
      </w:r>
      <w:r>
        <w:rPr>
          <w:rFonts w:eastAsia="Times New Roman"/>
          <w:color w:val="000000"/>
          <w:sz w:val="20"/>
          <w:szCs w:val="20"/>
        </w:rPr>
        <w:t>0</w:t>
      </w:r>
    </w:p>
    <w:p w:rsidR="00000000" w:rsidRDefault="007258AD">
      <w:pPr>
        <w:rPr>
          <w:rFonts w:eastAsia="Times New Roman"/>
        </w:rPr>
      </w:pPr>
      <w:r>
        <w:rPr>
          <w:rFonts w:eastAsia="Times New Roman"/>
        </w:rPr>
        <w:pict>
          <v:rect id="_x0000_i1057" style="width:0;height:1.5pt" o:hralign="center" o:hrstd="t" o:hr="t" fillcolor="#a0a0a0" stroked="f"/>
        </w:pict>
      </w:r>
    </w:p>
    <w:p w:rsidR="00000000" w:rsidRDefault="007258AD">
      <w:pPr>
        <w:jc w:val="both"/>
        <w:divId w:val="676539810"/>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676539810"/>
        <w:rPr>
          <w:rFonts w:eastAsia="Times New Roman"/>
        </w:rPr>
      </w:pPr>
    </w:p>
    <w:p w:rsidR="00000000" w:rsidRDefault="007258AD">
      <w:pPr>
        <w:jc w:val="both"/>
        <w:divId w:val="630592628"/>
        <w:rPr>
          <w:rFonts w:eastAsia="Times New Roman"/>
        </w:rPr>
      </w:pPr>
      <w:r>
        <w:rPr>
          <w:rFonts w:eastAsia="Times New Roman"/>
          <w:color w:val="000000"/>
          <w:sz w:val="20"/>
          <w:szCs w:val="20"/>
        </w:rPr>
        <w:t>The COVID-19 pandemic and related government mandates and restrictions have had a significant impact on the media, advertising and entertainme</w:t>
      </w:r>
      <w:r>
        <w:rPr>
          <w:rFonts w:eastAsia="Times New Roman"/>
          <w:color w:val="000000"/>
          <w:sz w:val="20"/>
          <w:szCs w:val="20"/>
        </w:rPr>
        <w:t>nt industries in which we operate. To date, the COVID-19 pandemic has had some impact on our business, including with respect to the timing of executing new or renewal contracts, the impact of closed movie theaters on our customers, customer payment delays</w:t>
      </w:r>
      <w:r>
        <w:rPr>
          <w:rFonts w:eastAsia="Times New Roman"/>
          <w:color w:val="000000"/>
          <w:sz w:val="20"/>
          <w:szCs w:val="20"/>
        </w:rPr>
        <w:t xml:space="preserve"> and requests to modify contractual payment terms. These conditions have negatively impacted our liquidity and cash flows to some extent and are expected to continue to have an impact in future periods. In the second quarter of 2020, we continued to see de</w:t>
      </w:r>
      <w:r>
        <w:rPr>
          <w:rFonts w:eastAsia="Times New Roman"/>
          <w:color w:val="000000"/>
          <w:sz w:val="20"/>
          <w:szCs w:val="20"/>
        </w:rPr>
        <w:t>lays in cash collections, leading our management team to take actions to mitigate the near-term impact on our liquidity. These actions included freezing hiring, exiting non-critical consultants and contractors, terminating or negotiating reductions in vend</w:t>
      </w:r>
      <w:r>
        <w:rPr>
          <w:rFonts w:eastAsia="Times New Roman"/>
          <w:color w:val="000000"/>
          <w:sz w:val="20"/>
          <w:szCs w:val="20"/>
        </w:rPr>
        <w:t>or agreements and leases, reducing compensation for our senior leadership team and board of directors, and reducing certain travel, marketing, recruiting and other corporate activities not deemed critical to the business in the current environment</w:t>
      </w:r>
      <w:r>
        <w:rPr>
          <w:rFonts w:eastAsia="Times New Roman"/>
          <w:color w:val="000000"/>
          <w:sz w:val="20"/>
          <w:szCs w:val="20"/>
        </w:rPr>
        <w:t>.</w:t>
      </w:r>
    </w:p>
    <w:p w:rsidR="00000000" w:rsidRDefault="007258AD">
      <w:pPr>
        <w:jc w:val="both"/>
        <w:divId w:val="928588422"/>
        <w:rPr>
          <w:rFonts w:eastAsia="Times New Roman"/>
        </w:rPr>
      </w:pPr>
      <w:r>
        <w:rPr>
          <w:rFonts w:eastAsia="Times New Roman"/>
          <w:color w:val="000000"/>
          <w:sz w:val="20"/>
          <w:szCs w:val="20"/>
        </w:rPr>
        <w:t>In addi</w:t>
      </w:r>
      <w:r>
        <w:rPr>
          <w:rFonts w:eastAsia="Times New Roman"/>
          <w:color w:val="000000"/>
          <w:sz w:val="20"/>
          <w:szCs w:val="20"/>
        </w:rPr>
        <w:t>tion to its impact on operations, the spread of COVID-19 has led to disruption and volatility in global capital and credit markets. Depending on future developments, this disruption could impact our ability to access capital resources on terms acceptable t</w:t>
      </w:r>
      <w:r>
        <w:rPr>
          <w:rFonts w:eastAsia="Times New Roman"/>
          <w:color w:val="000000"/>
          <w:sz w:val="20"/>
          <w:szCs w:val="20"/>
        </w:rPr>
        <w:t>o us or allowable under our current financing arrangements, and our management team continues to evaluate a range of scenarios in this area as well.</w:t>
      </w:r>
      <w:r>
        <w:rPr>
          <w:rFonts w:eastAsia="Times New Roman"/>
          <w:color w:val="000000"/>
          <w:sz w:val="20"/>
          <w:szCs w:val="20"/>
        </w:rPr>
        <w:t xml:space="preserve"> </w:t>
      </w:r>
    </w:p>
    <w:p w:rsidR="00000000" w:rsidRDefault="007258AD">
      <w:pPr>
        <w:jc w:val="both"/>
        <w:divId w:val="1947231444"/>
        <w:rPr>
          <w:rFonts w:eastAsia="Times New Roman"/>
        </w:rPr>
      </w:pPr>
      <w:r>
        <w:rPr>
          <w:rFonts w:eastAsia="Times New Roman"/>
          <w:color w:val="000000"/>
          <w:sz w:val="20"/>
          <w:szCs w:val="20"/>
        </w:rPr>
        <w:t>On March 27, 2020, Congress enacted the Coronavirus Aid, Relief and Economic Security Act ("CARES Act"). T</w:t>
      </w:r>
      <w:r>
        <w:rPr>
          <w:rFonts w:eastAsia="Times New Roman"/>
          <w:color w:val="000000"/>
          <w:sz w:val="20"/>
          <w:szCs w:val="20"/>
        </w:rPr>
        <w:t>he CARES Act, among other things, includes tax provisions for the deferral of certain employer payroll tax liabilities, refundable employee retention credits, rollbacks of Tax Cuts and Jobs Act ("TCJA") limitations on net operating losses, the acceleration</w:t>
      </w:r>
      <w:r>
        <w:rPr>
          <w:rFonts w:eastAsia="Times New Roman"/>
          <w:color w:val="000000"/>
          <w:sz w:val="20"/>
          <w:szCs w:val="20"/>
        </w:rPr>
        <w:t xml:space="preserve"> of alternative minimum tax credit refunds, modifications to the net interest deduction limitations and technical corrections to tax depreciation methods for qualified improvement property. We began deferring certain payroll taxes starting in April 2020, a</w:t>
      </w:r>
      <w:r>
        <w:rPr>
          <w:rFonts w:eastAsia="Times New Roman"/>
          <w:color w:val="000000"/>
          <w:sz w:val="20"/>
          <w:szCs w:val="20"/>
        </w:rPr>
        <w:t xml:space="preserve">s permitted by the CARES Act. In addition, we began claiming the refundable employee retention credit created by the CARES Act during 2020. We continue to assess the effect of the CARES Act and additional legislation and government guidance related to the </w:t>
      </w:r>
      <w:r>
        <w:rPr>
          <w:rFonts w:eastAsia="Times New Roman"/>
          <w:color w:val="000000"/>
          <w:sz w:val="20"/>
          <w:szCs w:val="20"/>
        </w:rPr>
        <w:t>COVID-19 pandemic</w:t>
      </w:r>
      <w:r>
        <w:rPr>
          <w:rFonts w:eastAsia="Times New Roman"/>
          <w:color w:val="000000"/>
          <w:sz w:val="20"/>
          <w:szCs w:val="20"/>
        </w:rPr>
        <w:t>.</w:t>
      </w:r>
    </w:p>
    <w:p w:rsidR="00000000" w:rsidRDefault="007258AD">
      <w:pPr>
        <w:jc w:val="both"/>
        <w:divId w:val="1086536196"/>
        <w:rPr>
          <w:rFonts w:eastAsia="Times New Roman"/>
        </w:rPr>
      </w:pPr>
      <w:r>
        <w:rPr>
          <w:rFonts w:eastAsia="Times New Roman"/>
          <w:color w:val="000000"/>
          <w:sz w:val="20"/>
          <w:szCs w:val="20"/>
        </w:rPr>
        <w:t>Our liquidity could be negatively affected by a decrease in demand for our products and services or by additional losses from operations, as well as payment of expenses incurred in prior periods in addition to current period expenses. It</w:t>
      </w:r>
      <w:r>
        <w:rPr>
          <w:rFonts w:eastAsia="Times New Roman"/>
          <w:color w:val="000000"/>
          <w:sz w:val="20"/>
          <w:szCs w:val="20"/>
        </w:rPr>
        <w:t xml:space="preserve"> is possible that long-term changes in consumer behavior will impact our customers' operations, and thus their demand for our services and ability to pay, even after the spread of COVID-19 has been contained and businesses are permitted to resume normal op</w:t>
      </w:r>
      <w:r>
        <w:rPr>
          <w:rFonts w:eastAsia="Times New Roman"/>
          <w:color w:val="000000"/>
          <w:sz w:val="20"/>
          <w:szCs w:val="20"/>
        </w:rPr>
        <w:t>erations. While we are taking actions (as described above) to mitigate the impact of COVID-19, control costs and improve our working capital balance, these steps may not be successful or adequate to offset future declines. If our efforts to control costs a</w:t>
      </w:r>
      <w:r>
        <w:rPr>
          <w:rFonts w:eastAsia="Times New Roman"/>
          <w:color w:val="000000"/>
          <w:sz w:val="20"/>
          <w:szCs w:val="20"/>
        </w:rPr>
        <w:t>re not sufficient, or if customer demand or cash collection efforts are further impacted by the COVID-19 pandemic, we may not be able to maintain our compliance with the affirmative and negative covenants in our Notes and Secured Term Note or to meet our f</w:t>
      </w:r>
      <w:r>
        <w:rPr>
          <w:rFonts w:eastAsia="Times New Roman"/>
          <w:color w:val="000000"/>
          <w:sz w:val="20"/>
          <w:szCs w:val="20"/>
        </w:rPr>
        <w:t>inancial obligations to our vendors or others.</w:t>
      </w:r>
      <w:r>
        <w:rPr>
          <w:rFonts w:eastAsia="Times New Roman"/>
          <w:color w:val="000000"/>
          <w:sz w:val="20"/>
          <w:szCs w:val="20"/>
        </w:rPr>
        <w:t xml:space="preserve"> </w:t>
      </w:r>
    </w:p>
    <w:p w:rsidR="00000000" w:rsidRDefault="007258AD">
      <w:pPr>
        <w:jc w:val="both"/>
        <w:divId w:val="1448500073"/>
        <w:rPr>
          <w:rFonts w:eastAsia="Times New Roman"/>
        </w:rPr>
      </w:pPr>
      <w:r>
        <w:rPr>
          <w:rFonts w:eastAsia="Times New Roman"/>
          <w:color w:val="000000"/>
          <w:sz w:val="20"/>
          <w:szCs w:val="20"/>
        </w:rPr>
        <w:t>Our liquidity could be significantly affected if we are unable to maintain compliance with the covenants in our Notes and Secured Term Note, including the minimum cash balance requirements described in</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Debt,</w:t>
      </w:r>
      <w:r>
        <w:rPr>
          <w:rFonts w:eastAsia="Times New Roman"/>
          <w:i/>
          <w:iCs/>
          <w:color w:val="000000"/>
          <w:sz w:val="20"/>
          <w:szCs w:val="20"/>
        </w:rPr>
        <w:t xml:space="preserve"> </w:t>
      </w:r>
      <w:r>
        <w:rPr>
          <w:rFonts w:eastAsia="Times New Roman"/>
          <w:color w:val="000000"/>
          <w:sz w:val="20"/>
          <w:szCs w:val="20"/>
        </w:rPr>
        <w:t>to our Condensed Consolidated Financial Statements. If we fail to comply with our covenants, we could be required to redeem the Notes and the Secured Term Note at a premium. A</w:t>
      </w:r>
      <w:r>
        <w:rPr>
          <w:rFonts w:eastAsia="Times New Roman"/>
          <w:color w:val="000000"/>
          <w:sz w:val="20"/>
          <w:szCs w:val="20"/>
        </w:rPr>
        <w:t>s of June 30, 2020, there was $217.0 million outstanding under the Notes and the Secured Term Note. The source of funds for any redemption of our debt would be our available cash and other financing, to the extent available. Based on our current plans, inc</w:t>
      </w:r>
      <w:r>
        <w:rPr>
          <w:rFonts w:eastAsia="Times New Roman"/>
          <w:color w:val="000000"/>
          <w:sz w:val="20"/>
          <w:szCs w:val="20"/>
        </w:rPr>
        <w:t>luding continued cost management and other actions within management's control, we do not anticipate a breach of these covenants that would result in an event of default under the Notes or the Secured Term Note; however, during the quarter ended June 30, 2</w:t>
      </w:r>
      <w:r>
        <w:rPr>
          <w:rFonts w:eastAsia="Times New Roman"/>
          <w:color w:val="000000"/>
          <w:sz w:val="20"/>
          <w:szCs w:val="20"/>
        </w:rPr>
        <w:t>020, the holders of the Notes questioned our compliance with the minimum cash balance requirements therein. As noted, any breach of covenants under the Notes could have a material impact on our liquidity</w:t>
      </w:r>
      <w:r>
        <w:rPr>
          <w:rFonts w:eastAsia="Times New Roman"/>
          <w:color w:val="000000"/>
          <w:sz w:val="20"/>
          <w:szCs w:val="20"/>
        </w:rPr>
        <w:t>.</w:t>
      </w:r>
    </w:p>
    <w:p w:rsidR="00000000" w:rsidRDefault="007258AD">
      <w:pPr>
        <w:jc w:val="both"/>
        <w:divId w:val="2038701716"/>
        <w:rPr>
          <w:rFonts w:eastAsia="Times New Roman"/>
        </w:rPr>
      </w:pPr>
      <w:r>
        <w:rPr>
          <w:rFonts w:eastAsia="Times New Roman"/>
          <w:color w:val="000000"/>
          <w:sz w:val="20"/>
          <w:szCs w:val="20"/>
        </w:rPr>
        <w:t>We continue to be focused on maintaining flexibilit</w:t>
      </w:r>
      <w:r>
        <w:rPr>
          <w:rFonts w:eastAsia="Times New Roman"/>
          <w:color w:val="000000"/>
          <w:sz w:val="20"/>
          <w:szCs w:val="20"/>
        </w:rPr>
        <w:t>y in terms of sources, amounts and the timing of any potential financing, refinancing or strategic transaction in order to best position the Company for future success. We believe that our sources of funding, after taking into account the actions described</w:t>
      </w:r>
      <w:r>
        <w:rPr>
          <w:rFonts w:eastAsia="Times New Roman"/>
          <w:color w:val="000000"/>
          <w:sz w:val="20"/>
          <w:szCs w:val="20"/>
        </w:rPr>
        <w:t xml:space="preserve"> above, will be sufficient to satisfy our currently anticipated requirements for at least the next 12 months. However, we cannot predict with certainty the outcome of our actions to generate liquidity, including the availability of additional financing. We</w:t>
      </w:r>
      <w:r>
        <w:rPr>
          <w:rFonts w:eastAsia="Times New Roman"/>
          <w:color w:val="000000"/>
          <w:sz w:val="20"/>
          <w:szCs w:val="20"/>
        </w:rPr>
        <w:t xml:space="preserve"> also cannot predict the duration and magnitude of the COVID-19 pandemic or its ultimate effects on our business or liquidity or any action that may be taken by the holders of the Notes.</w:t>
      </w:r>
      <w:r>
        <w:rPr>
          <w:rFonts w:eastAsia="Times New Roman"/>
          <w:color w:val="000000"/>
          <w:sz w:val="20"/>
          <w:szCs w:val="20"/>
        </w:rPr>
        <w:t xml:space="preserve"> </w:t>
      </w:r>
    </w:p>
    <w:p w:rsidR="00000000" w:rsidRDefault="007258AD">
      <w:pPr>
        <w:jc w:val="both"/>
        <w:divId w:val="891501865"/>
        <w:rPr>
          <w:rFonts w:eastAsia="Times New Roman"/>
        </w:rPr>
      </w:pPr>
      <w:r>
        <w:rPr>
          <w:rFonts w:eastAsia="Times New Roman"/>
          <w:color w:val="000000"/>
          <w:sz w:val="20"/>
          <w:szCs w:val="20"/>
          <w:u w:val="single"/>
        </w:rPr>
        <w:t>Restricted Cas</w:t>
      </w:r>
      <w:r>
        <w:rPr>
          <w:rFonts w:eastAsia="Times New Roman"/>
          <w:color w:val="000000"/>
          <w:sz w:val="20"/>
          <w:szCs w:val="20"/>
          <w:u w:val="single"/>
        </w:rPr>
        <w:t>h</w:t>
      </w:r>
    </w:p>
    <w:p w:rsidR="00000000" w:rsidRDefault="007258AD">
      <w:pPr>
        <w:jc w:val="both"/>
        <w:divId w:val="2021271423"/>
        <w:rPr>
          <w:rFonts w:eastAsia="Times New Roman"/>
        </w:rPr>
      </w:pPr>
      <w:r>
        <w:rPr>
          <w:rFonts w:eastAsia="Times New Roman"/>
          <w:color w:val="000000"/>
          <w:sz w:val="20"/>
          <w:szCs w:val="20"/>
        </w:rPr>
        <w:t>Restricted cash represents our requirement to collateralize the Secured Term Note, outstanding letters of credit, international payroll processing exposures and lines of credit related to certain of our corporate credit card programs and international payr</w:t>
      </w:r>
      <w:r>
        <w:rPr>
          <w:rFonts w:eastAsia="Times New Roman"/>
          <w:color w:val="000000"/>
          <w:sz w:val="20"/>
          <w:szCs w:val="20"/>
        </w:rPr>
        <w:t>oll processing exposures. As of June 30, 2020 and December 31, 2019, we had $19.6 million and $20.2 million of restricted cash, respectively</w:t>
      </w:r>
      <w:r>
        <w:rPr>
          <w:rFonts w:eastAsia="Times New Roman"/>
          <w:color w:val="000000"/>
          <w:sz w:val="20"/>
          <w:szCs w:val="20"/>
        </w:rPr>
        <w:t>.</w:t>
      </w:r>
    </w:p>
    <w:p w:rsidR="00000000" w:rsidRDefault="007258AD">
      <w:pPr>
        <w:jc w:val="both"/>
        <w:divId w:val="1196045504"/>
        <w:rPr>
          <w:rFonts w:eastAsia="Times New Roman"/>
        </w:rPr>
      </w:pPr>
      <w:r>
        <w:rPr>
          <w:rFonts w:eastAsia="Times New Roman"/>
          <w:color w:val="000000"/>
          <w:sz w:val="20"/>
          <w:szCs w:val="20"/>
          <w:u w:val="single"/>
        </w:rPr>
        <w:t>Letters of Credi</w:t>
      </w:r>
      <w:r>
        <w:rPr>
          <w:rFonts w:eastAsia="Times New Roman"/>
          <w:color w:val="000000"/>
          <w:sz w:val="20"/>
          <w:szCs w:val="20"/>
          <w:u w:val="single"/>
        </w:rPr>
        <w:t>t</w:t>
      </w:r>
    </w:p>
    <w:p w:rsidR="00000000" w:rsidRDefault="007258AD">
      <w:pPr>
        <w:jc w:val="both"/>
        <w:divId w:val="967272859"/>
        <w:rPr>
          <w:rFonts w:eastAsia="Times New Roman"/>
        </w:rPr>
      </w:pPr>
      <w:r>
        <w:rPr>
          <w:rFonts w:eastAsia="Times New Roman"/>
          <w:color w:val="000000"/>
          <w:sz w:val="20"/>
          <w:szCs w:val="20"/>
        </w:rPr>
        <w:t>In 2018, we entered into a Security Agreement with Wells Fargo Bank, N.A. to issue standby lette</w:t>
      </w:r>
      <w:r>
        <w:rPr>
          <w:rFonts w:eastAsia="Times New Roman"/>
          <w:color w:val="000000"/>
          <w:sz w:val="20"/>
          <w:szCs w:val="20"/>
        </w:rPr>
        <w:t>rs of credit on our behalf. As of June 30, 2020, $3.3 million in letters of credit are outstanding and are cash collateralized under the Security Agreement with Wells Fargo Bank, N.A</w:t>
      </w:r>
      <w:r>
        <w:rPr>
          <w:rFonts w:eastAsia="Times New Roman"/>
          <w:color w:val="000000"/>
          <w:sz w:val="20"/>
          <w:szCs w:val="20"/>
        </w:rPr>
        <w:t>.</w:t>
      </w:r>
    </w:p>
    <w:p w:rsidR="00000000" w:rsidRDefault="007258AD">
      <w:pPr>
        <w:jc w:val="center"/>
        <w:divId w:val="2055228721"/>
        <w:rPr>
          <w:rFonts w:eastAsia="Times New Roman"/>
        </w:rPr>
      </w:pPr>
      <w:r>
        <w:rPr>
          <w:rFonts w:eastAsia="Times New Roman"/>
          <w:color w:val="000000"/>
          <w:sz w:val="20"/>
          <w:szCs w:val="20"/>
        </w:rPr>
        <w:t>3</w:t>
      </w:r>
      <w:r>
        <w:rPr>
          <w:rFonts w:eastAsia="Times New Roman"/>
          <w:color w:val="000000"/>
          <w:sz w:val="20"/>
          <w:szCs w:val="20"/>
        </w:rPr>
        <w:t>1</w:t>
      </w:r>
    </w:p>
    <w:p w:rsidR="00000000" w:rsidRDefault="007258AD">
      <w:pPr>
        <w:rPr>
          <w:rFonts w:eastAsia="Times New Roman"/>
        </w:rPr>
      </w:pPr>
      <w:r>
        <w:rPr>
          <w:rFonts w:eastAsia="Times New Roman"/>
        </w:rPr>
        <w:pict>
          <v:rect id="_x0000_i1058" style="width:0;height:1.5pt" o:hralign="center" o:hrstd="t" o:hr="t" fillcolor="#a0a0a0" stroked="f"/>
        </w:pict>
      </w:r>
    </w:p>
    <w:p w:rsidR="00000000" w:rsidRDefault="007258AD">
      <w:pPr>
        <w:jc w:val="both"/>
        <w:divId w:val="1816798218"/>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816798218"/>
        <w:rPr>
          <w:rFonts w:eastAsia="Times New Roman"/>
        </w:rPr>
      </w:pPr>
    </w:p>
    <w:p w:rsidR="00000000" w:rsidRDefault="007258AD">
      <w:pPr>
        <w:jc w:val="both"/>
        <w:divId w:val="331493106"/>
        <w:rPr>
          <w:rFonts w:eastAsia="Times New Roman"/>
        </w:rPr>
      </w:pPr>
      <w:r>
        <w:rPr>
          <w:rFonts w:eastAsia="Times New Roman"/>
          <w:color w:val="000000"/>
          <w:sz w:val="20"/>
          <w:szCs w:val="20"/>
          <w:u w:val="single"/>
        </w:rPr>
        <w:t>Issuance and Sale of Common Stock and Warrant</w:t>
      </w:r>
      <w:r>
        <w:rPr>
          <w:rFonts w:eastAsia="Times New Roman"/>
          <w:color w:val="000000"/>
          <w:sz w:val="20"/>
          <w:szCs w:val="20"/>
          <w:u w:val="single"/>
        </w:rPr>
        <w:t>s</w:t>
      </w:r>
    </w:p>
    <w:p w:rsidR="00000000" w:rsidRDefault="007258AD">
      <w:pPr>
        <w:jc w:val="both"/>
        <w:divId w:val="486897117"/>
        <w:rPr>
          <w:rFonts w:eastAsia="Times New Roman"/>
        </w:rPr>
      </w:pPr>
      <w:r>
        <w:rPr>
          <w:rFonts w:eastAsia="Times New Roman"/>
          <w:color w:val="000000"/>
          <w:sz w:val="20"/>
          <w:szCs w:val="20"/>
        </w:rPr>
        <w:t>On June 23, 2019, we entered into a Securities Purchase Agreement with CVI pursuant to which we sold to CVI for aggregate gross proceeds of $20.0 million (i) 2,728</w:t>
      </w:r>
      <w:r>
        <w:rPr>
          <w:rFonts w:eastAsia="Times New Roman"/>
          <w:color w:val="000000"/>
          <w:sz w:val="20"/>
          <w:szCs w:val="20"/>
        </w:rPr>
        <w:t xml:space="preserve">,513 shares of Common Stock and (ii) Series A Warrants, Series B-1 Warrants, Series B-2 Warrants and Series C Warrants to initially purchase up to 11,654,033 shares of Common Stock (the "Private Placement"). On October 14, 2019, we issued 2,728,513 shares </w:t>
      </w:r>
      <w:r>
        <w:rPr>
          <w:rFonts w:eastAsia="Times New Roman"/>
          <w:color w:val="000000"/>
          <w:sz w:val="20"/>
          <w:szCs w:val="20"/>
        </w:rPr>
        <w:t>of Common Stock to CVI upon exercise by CVI of the Series C Warrants. As a result of this exercise, the number of shares issuable under our Series A Warrants was increased by 2,728,513. In January 2020, the Series B-1 Warrants expired unexercised. On Augus</w:t>
      </w:r>
      <w:r>
        <w:rPr>
          <w:rFonts w:eastAsia="Times New Roman"/>
          <w:color w:val="000000"/>
          <w:sz w:val="20"/>
          <w:szCs w:val="20"/>
        </w:rPr>
        <w:t>t 3, 2020, the Series B-2 Warrants expired unexercised</w:t>
      </w:r>
      <w:r>
        <w:rPr>
          <w:rFonts w:eastAsia="Times New Roman"/>
          <w:color w:val="000000"/>
          <w:sz w:val="20"/>
          <w:szCs w:val="20"/>
        </w:rPr>
        <w:t>.</w:t>
      </w:r>
    </w:p>
    <w:p w:rsidR="00000000" w:rsidRDefault="007258AD">
      <w:pPr>
        <w:jc w:val="both"/>
        <w:divId w:val="1011446770"/>
        <w:rPr>
          <w:rFonts w:eastAsia="Times New Roman"/>
        </w:rPr>
      </w:pPr>
      <w:r>
        <w:rPr>
          <w:rFonts w:eastAsia="Times New Roman"/>
          <w:color w:val="000000"/>
          <w:sz w:val="20"/>
          <w:szCs w:val="20"/>
        </w:rPr>
        <w:t>For additional information on the Private Placement, refer to</w:t>
      </w:r>
      <w:r>
        <w:rPr>
          <w:rFonts w:eastAsia="Times New Roman"/>
          <w:color w:val="000000"/>
          <w:sz w:val="20"/>
          <w:szCs w:val="20"/>
        </w:rPr>
        <w:t xml:space="preserve"> </w:t>
      </w:r>
      <w:hyperlink w:anchor="if3309f2850e6489fbcf3fb9276fba379_67" w:history="1">
        <w:r>
          <w:rPr>
            <w:rStyle w:val="a3"/>
            <w:rFonts w:eastAsia="Times New Roman"/>
            <w:sz w:val="20"/>
            <w:szCs w:val="20"/>
          </w:rPr>
          <w:t>Footnote 5</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Stockholders' Equit</w:t>
      </w:r>
      <w:r>
        <w:rPr>
          <w:rFonts w:eastAsia="Times New Roman"/>
          <w:i/>
          <w:iCs/>
          <w:color w:val="000000"/>
          <w:sz w:val="20"/>
          <w:szCs w:val="20"/>
        </w:rPr>
        <w:t>y</w:t>
      </w:r>
      <w:r>
        <w:rPr>
          <w:rFonts w:eastAsia="Times New Roman"/>
          <w:color w:val="000000"/>
          <w:sz w:val="20"/>
          <w:szCs w:val="20"/>
        </w:rPr>
        <w:t>.</w:t>
      </w:r>
      <w:r>
        <w:rPr>
          <w:rFonts w:eastAsia="Times New Roman"/>
          <w:color w:val="000000"/>
          <w:sz w:val="20"/>
          <w:szCs w:val="20"/>
        </w:rPr>
        <w:t xml:space="preserve"> </w:t>
      </w:r>
    </w:p>
    <w:p w:rsidR="00000000" w:rsidRDefault="007258AD">
      <w:pPr>
        <w:jc w:val="both"/>
        <w:divId w:val="678695788"/>
        <w:rPr>
          <w:rFonts w:eastAsia="Times New Roman"/>
        </w:rPr>
      </w:pPr>
      <w:r>
        <w:rPr>
          <w:rFonts w:eastAsia="Times New Roman"/>
          <w:color w:val="000000"/>
          <w:sz w:val="20"/>
          <w:szCs w:val="20"/>
          <w:u w:val="single"/>
        </w:rPr>
        <w:t>Issuance and Sale of Senior Secured Converti</w:t>
      </w:r>
      <w:r>
        <w:rPr>
          <w:rFonts w:eastAsia="Times New Roman"/>
          <w:color w:val="000000"/>
          <w:sz w:val="20"/>
          <w:szCs w:val="20"/>
          <w:u w:val="single"/>
        </w:rPr>
        <w:t>ble Notes and Warrant</w:t>
      </w:r>
      <w:r>
        <w:rPr>
          <w:rFonts w:eastAsia="Times New Roman"/>
          <w:color w:val="000000"/>
          <w:sz w:val="20"/>
          <w:szCs w:val="20"/>
          <w:u w:val="single"/>
        </w:rPr>
        <w:t>s</w:t>
      </w:r>
    </w:p>
    <w:p w:rsidR="00000000" w:rsidRDefault="007258AD">
      <w:pPr>
        <w:jc w:val="both"/>
        <w:divId w:val="594704418"/>
        <w:rPr>
          <w:rFonts w:eastAsia="Times New Roman"/>
        </w:rPr>
      </w:pPr>
      <w:r>
        <w:rPr>
          <w:rFonts w:eastAsia="Times New Roman"/>
          <w:color w:val="000000"/>
          <w:sz w:val="20"/>
          <w:szCs w:val="20"/>
        </w:rPr>
        <w:t>On January 16, 2018, we entered into certain agreements with Starboard, pursuant to which we issued and sold to Starboard $150.0 million in Notes in exchange for $85.0 million in cash and 2,600,000 shares of Common Stock. We also agr</w:t>
      </w:r>
      <w:r>
        <w:rPr>
          <w:rFonts w:eastAsia="Times New Roman"/>
          <w:color w:val="000000"/>
          <w:sz w:val="20"/>
          <w:szCs w:val="20"/>
        </w:rPr>
        <w:t xml:space="preserve">eed to issue to Starboard warrants to purchase 250,000 shares of Common Stock at a price of $0.01 per share, as adjusted pursuant to the terms of the warrants. The warrants were issued on October 12, 2018 and exercised in full on April 3, 2019 for 323,448 </w:t>
      </w:r>
      <w:r>
        <w:rPr>
          <w:rFonts w:eastAsia="Times New Roman"/>
          <w:color w:val="000000"/>
          <w:sz w:val="20"/>
          <w:szCs w:val="20"/>
        </w:rPr>
        <w:t>shares of Common Stock. On May 17, 2018, we issued and sold to Starboard $50.0 million of Notes in exchange for $15.0 million in cash and 1,400,000 shares of Common Stock. Later in 2018 we issued an aggregate of $4.0 million in Notes to Starboard, bringing</w:t>
      </w:r>
      <w:r>
        <w:rPr>
          <w:rFonts w:eastAsia="Times New Roman"/>
          <w:color w:val="000000"/>
          <w:sz w:val="20"/>
          <w:szCs w:val="20"/>
        </w:rPr>
        <w:t xml:space="preserve"> the total balance of the Notes as of June 30, 2020 to $204.0 million</w:t>
      </w:r>
      <w:r>
        <w:rPr>
          <w:rFonts w:eastAsia="Times New Roman"/>
          <w:color w:val="000000"/>
          <w:sz w:val="20"/>
          <w:szCs w:val="20"/>
        </w:rPr>
        <w:t>.</w:t>
      </w:r>
    </w:p>
    <w:p w:rsidR="00000000" w:rsidRDefault="007258AD">
      <w:pPr>
        <w:jc w:val="both"/>
        <w:divId w:val="1708603390"/>
        <w:rPr>
          <w:rFonts w:eastAsia="Times New Roman"/>
        </w:rPr>
      </w:pPr>
      <w:r>
        <w:rPr>
          <w:rFonts w:eastAsia="Times New Roman"/>
          <w:color w:val="000000"/>
          <w:sz w:val="20"/>
          <w:szCs w:val="20"/>
        </w:rPr>
        <w:t>The Notes contain certain affirmative and restrictive covenants with which we must comply, including covenants with respect to (i) limitations on additional indebtedness, (ii) limitatio</w:t>
      </w:r>
      <w:r>
        <w:rPr>
          <w:rFonts w:eastAsia="Times New Roman"/>
          <w:color w:val="000000"/>
          <w:sz w:val="20"/>
          <w:szCs w:val="20"/>
        </w:rPr>
        <w:t>ns on liens, (iii) limitations on certain payments, (iv) maintenance of certain minimum cash balances (currently $40.0 million) and (v) the timely filing of certain disclosures with the SEC. We are in compliance with the Notes covenants as of June 30, 2020</w:t>
      </w:r>
      <w:r>
        <w:rPr>
          <w:rFonts w:eastAsia="Times New Roman"/>
          <w:color w:val="000000"/>
          <w:sz w:val="20"/>
          <w:szCs w:val="20"/>
        </w:rPr>
        <w:t>, inclusive of our restricted cash balances. As discussed above, any breach of these covenants could have a significant negative effect on our liquidity</w:t>
      </w:r>
      <w:r>
        <w:rPr>
          <w:rFonts w:eastAsia="Times New Roman"/>
          <w:color w:val="000000"/>
          <w:sz w:val="20"/>
          <w:szCs w:val="20"/>
        </w:rPr>
        <w:t>.</w:t>
      </w:r>
    </w:p>
    <w:p w:rsidR="00000000" w:rsidRDefault="007258AD">
      <w:pPr>
        <w:jc w:val="both"/>
        <w:divId w:val="719789919"/>
        <w:rPr>
          <w:rFonts w:eastAsia="Times New Roman"/>
        </w:rPr>
      </w:pPr>
      <w:r>
        <w:rPr>
          <w:rFonts w:eastAsia="Times New Roman"/>
          <w:color w:val="000000"/>
          <w:sz w:val="20"/>
          <w:szCs w:val="20"/>
        </w:rPr>
        <w:t>For additional information on the Notes, refer to</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w:t>
      </w:r>
    </w:p>
    <w:p w:rsidR="00000000" w:rsidRDefault="007258AD">
      <w:pPr>
        <w:jc w:val="both"/>
        <w:divId w:val="595944257"/>
        <w:rPr>
          <w:rFonts w:eastAsia="Times New Roman"/>
        </w:rPr>
      </w:pPr>
      <w:r>
        <w:rPr>
          <w:rFonts w:eastAsia="Times New Roman"/>
          <w:color w:val="000000"/>
          <w:sz w:val="20"/>
          <w:szCs w:val="20"/>
          <w:u w:val="single"/>
        </w:rPr>
        <w:t>Secured Term Not</w:t>
      </w:r>
      <w:r>
        <w:rPr>
          <w:rFonts w:eastAsia="Times New Roman"/>
          <w:color w:val="000000"/>
          <w:sz w:val="20"/>
          <w:szCs w:val="20"/>
          <w:u w:val="single"/>
        </w:rPr>
        <w:t>e</w:t>
      </w:r>
    </w:p>
    <w:p w:rsidR="00000000" w:rsidRDefault="007258AD">
      <w:pPr>
        <w:jc w:val="both"/>
        <w:divId w:val="1472288583"/>
        <w:rPr>
          <w:rFonts w:eastAsia="Times New Roman"/>
        </w:rPr>
      </w:pPr>
      <w:r>
        <w:rPr>
          <w:rFonts w:eastAsia="Times New Roman"/>
          <w:color w:val="000000"/>
          <w:sz w:val="20"/>
          <w:szCs w:val="20"/>
        </w:rPr>
        <w:t>On December 31, 2019, our wholly owned subsidiary, Rentrak B.V., entered into an agreement with several third parties for the Secured Term Note in exchange for gross proceeds of $13.0 million. The Secure</w:t>
      </w:r>
      <w:r>
        <w:rPr>
          <w:rFonts w:eastAsia="Times New Roman"/>
          <w:color w:val="000000"/>
          <w:sz w:val="20"/>
          <w:szCs w:val="20"/>
        </w:rPr>
        <w:t>d Term Note matures on December 31, 2021 and has an annual interest rate of 9.75% that is payable monthly in cash.</w:t>
      </w:r>
      <w:r>
        <w:rPr>
          <w:rFonts w:eastAsia="Times New Roman"/>
          <w:color w:val="000000"/>
          <w:sz w:val="20"/>
          <w:szCs w:val="20"/>
        </w:rPr>
        <w:t xml:space="preserve"> </w:t>
      </w:r>
    </w:p>
    <w:p w:rsidR="00000000" w:rsidRDefault="007258AD">
      <w:pPr>
        <w:jc w:val="both"/>
        <w:divId w:val="1708024610"/>
        <w:rPr>
          <w:rFonts w:eastAsia="Times New Roman"/>
        </w:rPr>
      </w:pPr>
      <w:r>
        <w:rPr>
          <w:rFonts w:eastAsia="Times New Roman"/>
          <w:color w:val="000000"/>
          <w:sz w:val="20"/>
          <w:szCs w:val="20"/>
        </w:rPr>
        <w:t xml:space="preserve">The Secured Term Note contains certain affirmative and restrictive covenants with which Rentrak B.V. must comply, including (i) maintenance </w:t>
      </w:r>
      <w:r>
        <w:rPr>
          <w:rFonts w:eastAsia="Times New Roman"/>
          <w:color w:val="000000"/>
          <w:sz w:val="20"/>
          <w:szCs w:val="20"/>
        </w:rPr>
        <w:t>of a minimum cash collateral balance of $14.8 million, (ii) provision of certain financial statements, (iii) limitations on additional indebtedness and liens, (iv) limitations on repayment of debt, (v) limitations on repurchase of stock, and (vi) limitatio</w:t>
      </w:r>
      <w:r>
        <w:rPr>
          <w:rFonts w:eastAsia="Times New Roman"/>
          <w:color w:val="000000"/>
          <w:sz w:val="20"/>
          <w:szCs w:val="20"/>
        </w:rPr>
        <w:t>ns on disposition of assets. Rentrak B.V. is in compliance with the Secured Term Note covenants as of June 30, 2020</w:t>
      </w:r>
      <w:r>
        <w:rPr>
          <w:rFonts w:eastAsia="Times New Roman"/>
          <w:color w:val="000000"/>
          <w:sz w:val="20"/>
          <w:szCs w:val="20"/>
        </w:rPr>
        <w:t>.</w:t>
      </w:r>
    </w:p>
    <w:p w:rsidR="00000000" w:rsidRDefault="007258AD">
      <w:pPr>
        <w:jc w:val="both"/>
        <w:divId w:val="1007170896"/>
        <w:rPr>
          <w:rFonts w:eastAsia="Times New Roman"/>
        </w:rPr>
      </w:pPr>
      <w:r>
        <w:rPr>
          <w:rFonts w:eastAsia="Times New Roman"/>
          <w:color w:val="000000"/>
          <w:sz w:val="20"/>
          <w:szCs w:val="20"/>
        </w:rPr>
        <w:t>For additional information on the Notes, refer to</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w:t>
      </w:r>
    </w:p>
    <w:p w:rsidR="00000000" w:rsidRDefault="007258AD">
      <w:pPr>
        <w:jc w:val="both"/>
        <w:divId w:val="1553081347"/>
        <w:rPr>
          <w:rFonts w:eastAsia="Times New Roman"/>
        </w:rPr>
      </w:pPr>
      <w:r>
        <w:rPr>
          <w:rFonts w:eastAsia="Times New Roman"/>
          <w:b/>
          <w:bCs/>
          <w:i/>
          <w:iCs/>
          <w:color w:val="000000"/>
          <w:sz w:val="20"/>
          <w:szCs w:val="20"/>
        </w:rPr>
        <w:t>Operating Activitie</w:t>
      </w:r>
      <w:r>
        <w:rPr>
          <w:rFonts w:eastAsia="Times New Roman"/>
          <w:b/>
          <w:bCs/>
          <w:i/>
          <w:iCs/>
          <w:color w:val="000000"/>
          <w:sz w:val="20"/>
          <w:szCs w:val="20"/>
        </w:rPr>
        <w:t>s</w:t>
      </w:r>
    </w:p>
    <w:p w:rsidR="00000000" w:rsidRDefault="007258AD">
      <w:pPr>
        <w:jc w:val="both"/>
        <w:divId w:val="113401464"/>
        <w:rPr>
          <w:rFonts w:eastAsia="Times New Roman"/>
        </w:rPr>
      </w:pPr>
      <w:r>
        <w:rPr>
          <w:rFonts w:eastAsia="Times New Roman"/>
          <w:color w:val="000000"/>
          <w:sz w:val="20"/>
          <w:szCs w:val="20"/>
        </w:rPr>
        <w:t>Our primary source of cash provided by operating activities is revenues generated from sales of our Ratings and Planning, Analytics and Optimization, and Movies Reporting and Analytics products and services. Our primary uses of cash from operating activiti</w:t>
      </w:r>
      <w:r>
        <w:rPr>
          <w:rFonts w:eastAsia="Times New Roman"/>
          <w:color w:val="000000"/>
          <w:sz w:val="20"/>
          <w:szCs w:val="20"/>
        </w:rPr>
        <w:t>es include personnel costs and costs related to data and infrastructure used to develop and maintain our products and services. As discussed above, we have experienced delays in customer payments and requests to modify contractual payment terms in connecti</w:t>
      </w:r>
      <w:r>
        <w:rPr>
          <w:rFonts w:eastAsia="Times New Roman"/>
          <w:color w:val="000000"/>
          <w:sz w:val="20"/>
          <w:szCs w:val="20"/>
        </w:rPr>
        <w:t>on with the COVID-19 pandemic and related government mandates and restrictions</w:t>
      </w:r>
      <w:r>
        <w:rPr>
          <w:rFonts w:eastAsia="Times New Roman"/>
          <w:color w:val="000000"/>
          <w:sz w:val="20"/>
          <w:szCs w:val="20"/>
        </w:rPr>
        <w:t>.</w:t>
      </w:r>
    </w:p>
    <w:p w:rsidR="00000000" w:rsidRDefault="007258AD">
      <w:pPr>
        <w:jc w:val="both"/>
        <w:divId w:val="1231501879"/>
        <w:rPr>
          <w:rFonts w:eastAsia="Times New Roman"/>
        </w:rPr>
      </w:pPr>
      <w:r>
        <w:rPr>
          <w:rFonts w:eastAsia="Times New Roman"/>
          <w:color w:val="000000"/>
          <w:sz w:val="20"/>
          <w:szCs w:val="20"/>
        </w:rPr>
        <w:t>Cash used in operating activities is calculated by adjusting our net loss for changes in working capital, as well as by excluding non-cash items such as: depreciation, non-cash</w:t>
      </w:r>
      <w:r>
        <w:rPr>
          <w:rFonts w:eastAsia="Times New Roman"/>
          <w:color w:val="000000"/>
          <w:sz w:val="20"/>
          <w:szCs w:val="20"/>
        </w:rPr>
        <w:t xml:space="preserve"> operating lease expense, amortization expense of finance leases and intangible assets, impairment of right-of-use assets, stock-based compensation, deferred tax provision, change in the fair value of financing derivatives, warrants liability and equity se</w:t>
      </w:r>
      <w:r>
        <w:rPr>
          <w:rFonts w:eastAsia="Times New Roman"/>
          <w:color w:val="000000"/>
          <w:sz w:val="20"/>
          <w:szCs w:val="20"/>
        </w:rPr>
        <w:t>curities, accretion of debt discount, and amortization of deferred financing costs</w:t>
      </w:r>
      <w:r>
        <w:rPr>
          <w:rFonts w:eastAsia="Times New Roman"/>
          <w:color w:val="000000"/>
          <w:sz w:val="20"/>
          <w:szCs w:val="20"/>
        </w:rPr>
        <w:t>.</w:t>
      </w:r>
    </w:p>
    <w:p w:rsidR="00000000" w:rsidRDefault="007258AD">
      <w:pPr>
        <w:jc w:val="both"/>
        <w:divId w:val="1772435377"/>
        <w:rPr>
          <w:rFonts w:eastAsia="Times New Roman"/>
        </w:rPr>
      </w:pPr>
      <w:r>
        <w:rPr>
          <w:rFonts w:eastAsia="Times New Roman"/>
          <w:color w:val="000000"/>
          <w:sz w:val="20"/>
          <w:szCs w:val="20"/>
        </w:rPr>
        <w:t>Net cash used in operating activities for the six months ended June 30, 2020 was $1.8 million compared to net cash used of $10.7 million for the six months ended June 30, 2</w:t>
      </w:r>
      <w:r>
        <w:rPr>
          <w:rFonts w:eastAsia="Times New Roman"/>
          <w:color w:val="000000"/>
          <w:sz w:val="20"/>
          <w:szCs w:val="20"/>
        </w:rPr>
        <w:t xml:space="preserve">019. The decrease in cash used in operating activities during the six months ended June 30, 2020 as compared to the six months ended June 30, 2019 was primarily attributable to a decrease in the net loss, offset by an increase in cash interest paid on the </w:t>
      </w:r>
      <w:r>
        <w:rPr>
          <w:rFonts w:eastAsia="Times New Roman"/>
          <w:color w:val="000000"/>
          <w:sz w:val="20"/>
          <w:szCs w:val="20"/>
        </w:rPr>
        <w:t xml:space="preserve">Notes in 2020 of $9.2 million, as well as a net decrease in operating assets and liabilities of $9.9 million for the six months ended June 30, 2020 as compared to a net increase of $16.9 million for the six months ended June 30, 2019. The shift from a net </w:t>
      </w:r>
      <w:r>
        <w:rPr>
          <w:rFonts w:eastAsia="Times New Roman"/>
          <w:color w:val="000000"/>
          <w:sz w:val="20"/>
          <w:szCs w:val="20"/>
        </w:rPr>
        <w:t>increase in operating assets and liabilities to a net decrease is primarily due to payments of our accounts payable and accrual balances from the prior year during the six months ended June 30, 2020. Included in our decrease of operating assets and liabili</w:t>
      </w:r>
      <w:r>
        <w:rPr>
          <w:rFonts w:eastAsia="Times New Roman"/>
          <w:color w:val="000000"/>
          <w:sz w:val="20"/>
          <w:szCs w:val="20"/>
        </w:rPr>
        <w:t>ties is an increase in contract liability related to an upfront payment resulting from a new contract, which increased our cash balance by $9.4 million during the second quarter of 2020</w:t>
      </w:r>
      <w:r>
        <w:rPr>
          <w:rFonts w:eastAsia="Times New Roman"/>
          <w:color w:val="000000"/>
          <w:sz w:val="20"/>
          <w:szCs w:val="20"/>
        </w:rPr>
        <w:t>.</w:t>
      </w:r>
    </w:p>
    <w:p w:rsidR="00000000" w:rsidRDefault="007258AD">
      <w:pPr>
        <w:jc w:val="center"/>
        <w:divId w:val="276371601"/>
        <w:rPr>
          <w:rFonts w:eastAsia="Times New Roman"/>
        </w:rPr>
      </w:pPr>
      <w:r>
        <w:rPr>
          <w:rFonts w:eastAsia="Times New Roman"/>
          <w:color w:val="000000"/>
          <w:sz w:val="20"/>
          <w:szCs w:val="20"/>
        </w:rPr>
        <w:t>3</w:t>
      </w:r>
      <w:r>
        <w:rPr>
          <w:rFonts w:eastAsia="Times New Roman"/>
          <w:color w:val="000000"/>
          <w:sz w:val="20"/>
          <w:szCs w:val="20"/>
        </w:rPr>
        <w:t>2</w:t>
      </w:r>
    </w:p>
    <w:p w:rsidR="00000000" w:rsidRDefault="007258AD">
      <w:pPr>
        <w:rPr>
          <w:rFonts w:eastAsia="Times New Roman"/>
        </w:rPr>
      </w:pPr>
      <w:r>
        <w:rPr>
          <w:rFonts w:eastAsia="Times New Roman"/>
        </w:rPr>
        <w:pict>
          <v:rect id="_x0000_i1059" style="width:0;height:1.5pt" o:hralign="center" o:hrstd="t" o:hr="t" fillcolor="#a0a0a0" stroked="f"/>
        </w:pict>
      </w:r>
    </w:p>
    <w:p w:rsidR="00000000" w:rsidRDefault="007258AD">
      <w:pPr>
        <w:jc w:val="both"/>
        <w:divId w:val="1802336425"/>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802336425"/>
        <w:rPr>
          <w:rFonts w:eastAsia="Times New Roman"/>
        </w:rPr>
      </w:pPr>
    </w:p>
    <w:p w:rsidR="00000000" w:rsidRDefault="007258AD">
      <w:pPr>
        <w:jc w:val="both"/>
        <w:divId w:val="140270815"/>
        <w:rPr>
          <w:rFonts w:eastAsia="Times New Roman"/>
        </w:rPr>
      </w:pPr>
      <w:r>
        <w:rPr>
          <w:rFonts w:eastAsia="Times New Roman"/>
          <w:b/>
          <w:bCs/>
          <w:i/>
          <w:iCs/>
          <w:color w:val="000000"/>
          <w:sz w:val="20"/>
          <w:szCs w:val="20"/>
        </w:rPr>
        <w:t>Investing Activitie</w:t>
      </w:r>
      <w:r>
        <w:rPr>
          <w:rFonts w:eastAsia="Times New Roman"/>
          <w:b/>
          <w:bCs/>
          <w:i/>
          <w:iCs/>
          <w:color w:val="000000"/>
          <w:sz w:val="20"/>
          <w:szCs w:val="20"/>
        </w:rPr>
        <w:t>s</w:t>
      </w:r>
    </w:p>
    <w:p w:rsidR="00000000" w:rsidRDefault="007258AD">
      <w:pPr>
        <w:jc w:val="both"/>
        <w:divId w:val="2002193320"/>
        <w:rPr>
          <w:rFonts w:eastAsia="Times New Roman"/>
        </w:rPr>
      </w:pPr>
      <w:r>
        <w:rPr>
          <w:rFonts w:eastAsia="Times New Roman"/>
          <w:color w:val="000000"/>
          <w:sz w:val="20"/>
          <w:szCs w:val="20"/>
        </w:rPr>
        <w:t>Cash used in investing activities primarily consists of payments related to capitalized internal-use software costs, purchases of computer and network equipment to support our technical i</w:t>
      </w:r>
      <w:r>
        <w:rPr>
          <w:rFonts w:eastAsia="Times New Roman"/>
          <w:color w:val="000000"/>
          <w:sz w:val="20"/>
          <w:szCs w:val="20"/>
        </w:rPr>
        <w:t>nfrastructure, and furniture and equipment. The extent of these investments will be affected by our ability to expand relationships with existing customers, grow our customer base and introduce new digital formats, as well as constraints on cash expenditur</w:t>
      </w:r>
      <w:r>
        <w:rPr>
          <w:rFonts w:eastAsia="Times New Roman"/>
          <w:color w:val="000000"/>
          <w:sz w:val="20"/>
          <w:szCs w:val="20"/>
        </w:rPr>
        <w:t>es in the current economic environment</w:t>
      </w:r>
      <w:r>
        <w:rPr>
          <w:rFonts w:eastAsia="Times New Roman"/>
          <w:color w:val="000000"/>
          <w:sz w:val="20"/>
          <w:szCs w:val="20"/>
        </w:rPr>
        <w:t>.</w:t>
      </w:r>
    </w:p>
    <w:p w:rsidR="00000000" w:rsidRDefault="007258AD">
      <w:pPr>
        <w:jc w:val="both"/>
        <w:divId w:val="1152990298"/>
        <w:rPr>
          <w:rFonts w:eastAsia="Times New Roman"/>
        </w:rPr>
      </w:pPr>
      <w:r>
        <w:rPr>
          <w:rFonts w:eastAsia="Times New Roman"/>
          <w:color w:val="000000"/>
          <w:sz w:val="20"/>
          <w:szCs w:val="20"/>
        </w:rPr>
        <w:t>Net cash used in investing activities for the six months ended June 30, 2020 was $7.9 million compared to net cash used in investing activities of $6.8 million for the six months ended June 30, 2019. This increase in</w:t>
      </w:r>
      <w:r>
        <w:rPr>
          <w:rFonts w:eastAsia="Times New Roman"/>
          <w:color w:val="000000"/>
          <w:sz w:val="20"/>
          <w:szCs w:val="20"/>
        </w:rPr>
        <w:t xml:space="preserve"> cash used in investing activities was attributable to an increase of $2.2 million in payments for capitalized internally developed software and a $0.7 million decline in receipts from the sale of an investment in 2019 that did not recur in 2020, partially</w:t>
      </w:r>
      <w:r>
        <w:rPr>
          <w:rFonts w:eastAsia="Times New Roman"/>
          <w:color w:val="000000"/>
          <w:sz w:val="20"/>
          <w:szCs w:val="20"/>
        </w:rPr>
        <w:t xml:space="preserve"> offset by a $1.8 million decrease in purchases of property and equipment in 2020 compared with 2019.</w:t>
      </w:r>
      <w:r>
        <w:rPr>
          <w:rFonts w:eastAsia="Times New Roman"/>
          <w:color w:val="000000"/>
          <w:sz w:val="20"/>
          <w:szCs w:val="20"/>
        </w:rPr>
        <w:t xml:space="preserve"> </w:t>
      </w:r>
    </w:p>
    <w:p w:rsidR="00000000" w:rsidRDefault="007258AD">
      <w:pPr>
        <w:jc w:val="both"/>
        <w:divId w:val="1364745257"/>
        <w:rPr>
          <w:rFonts w:eastAsia="Times New Roman"/>
        </w:rPr>
      </w:pPr>
      <w:r>
        <w:rPr>
          <w:rFonts w:eastAsia="Times New Roman"/>
          <w:b/>
          <w:bCs/>
          <w:i/>
          <w:iCs/>
          <w:color w:val="000000"/>
          <w:sz w:val="20"/>
          <w:szCs w:val="20"/>
        </w:rPr>
        <w:t>Financing Activitie</w:t>
      </w:r>
      <w:r>
        <w:rPr>
          <w:rFonts w:eastAsia="Times New Roman"/>
          <w:b/>
          <w:bCs/>
          <w:i/>
          <w:iCs/>
          <w:color w:val="000000"/>
          <w:sz w:val="20"/>
          <w:szCs w:val="20"/>
        </w:rPr>
        <w:t>s</w:t>
      </w:r>
    </w:p>
    <w:p w:rsidR="00000000" w:rsidRDefault="007258AD">
      <w:pPr>
        <w:jc w:val="both"/>
        <w:divId w:val="1156066924"/>
        <w:rPr>
          <w:rFonts w:eastAsia="Times New Roman"/>
        </w:rPr>
      </w:pPr>
      <w:r>
        <w:rPr>
          <w:rFonts w:eastAsia="Times New Roman"/>
          <w:color w:val="000000"/>
          <w:sz w:val="20"/>
          <w:szCs w:val="20"/>
        </w:rPr>
        <w:t>Net cash used in financing activities during the six months ended June 30, 2020 was $1.0 million compared to net cash provided by fi</w:t>
      </w:r>
      <w:r>
        <w:rPr>
          <w:rFonts w:eastAsia="Times New Roman"/>
          <w:color w:val="000000"/>
          <w:sz w:val="20"/>
          <w:szCs w:val="20"/>
        </w:rPr>
        <w:t>nancing activities of $21.0 million during the six months ended June 30, 2019. The shift from cash provided by financing activities to cash used in financing activities was largely due to cash proceeds of $19.9 million from the sale of shares of Common Sto</w:t>
      </w:r>
      <w:r>
        <w:rPr>
          <w:rFonts w:eastAsia="Times New Roman"/>
          <w:color w:val="000000"/>
          <w:sz w:val="20"/>
          <w:szCs w:val="20"/>
        </w:rPr>
        <w:t>ck and warrants in the Private Placement during 2019 and cash proceeds of $4.3 million from the sale-leaseback transaction during 2019</w:t>
      </w:r>
      <w:r>
        <w:rPr>
          <w:rFonts w:eastAsia="Times New Roman"/>
          <w:color w:val="000000"/>
          <w:sz w:val="20"/>
          <w:szCs w:val="20"/>
        </w:rPr>
        <w:t>.</w:t>
      </w:r>
    </w:p>
    <w:p w:rsidR="00000000" w:rsidRDefault="007258AD">
      <w:pPr>
        <w:jc w:val="both"/>
        <w:divId w:val="1852334319"/>
        <w:rPr>
          <w:rFonts w:eastAsia="Times New Roman"/>
        </w:rPr>
      </w:pPr>
      <w:r>
        <w:rPr>
          <w:rFonts w:eastAsia="Times New Roman"/>
          <w:b/>
          <w:bCs/>
          <w:i/>
          <w:iCs/>
          <w:color w:val="000000"/>
          <w:sz w:val="20"/>
          <w:szCs w:val="20"/>
        </w:rPr>
        <w:t>Contractual Payment Obligation</w:t>
      </w:r>
      <w:r>
        <w:rPr>
          <w:rFonts w:eastAsia="Times New Roman"/>
          <w:b/>
          <w:bCs/>
          <w:i/>
          <w:iCs/>
          <w:color w:val="000000"/>
          <w:sz w:val="20"/>
          <w:szCs w:val="20"/>
        </w:rPr>
        <w:t>s</w:t>
      </w:r>
    </w:p>
    <w:p w:rsidR="00000000" w:rsidRDefault="007258AD">
      <w:pPr>
        <w:jc w:val="both"/>
        <w:divId w:val="1195343104"/>
        <w:rPr>
          <w:rFonts w:eastAsia="Times New Roman"/>
        </w:rPr>
      </w:pPr>
      <w:r>
        <w:rPr>
          <w:rFonts w:eastAsia="Times New Roman"/>
          <w:color w:val="000000"/>
          <w:sz w:val="20"/>
          <w:szCs w:val="20"/>
        </w:rPr>
        <w:t>We are subject to certain contractual arrangements that are long-term in nature. The inf</w:t>
      </w:r>
      <w:r>
        <w:rPr>
          <w:rFonts w:eastAsia="Times New Roman"/>
          <w:color w:val="000000"/>
          <w:sz w:val="20"/>
          <w:szCs w:val="20"/>
        </w:rPr>
        <w:t>ormation set forth below summarizes our contractual obligations as of June 30, 2020 that are fixed and determinable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25"/>
        <w:gridCol w:w="652"/>
        <w:gridCol w:w="80"/>
        <w:gridCol w:w="36"/>
        <w:gridCol w:w="36"/>
        <w:gridCol w:w="36"/>
        <w:gridCol w:w="125"/>
        <w:gridCol w:w="617"/>
        <w:gridCol w:w="80"/>
        <w:gridCol w:w="36"/>
        <w:gridCol w:w="36"/>
        <w:gridCol w:w="36"/>
        <w:gridCol w:w="125"/>
        <w:gridCol w:w="645"/>
        <w:gridCol w:w="80"/>
        <w:gridCol w:w="36"/>
        <w:gridCol w:w="36"/>
        <w:gridCol w:w="36"/>
        <w:gridCol w:w="125"/>
        <w:gridCol w:w="594"/>
        <w:gridCol w:w="80"/>
        <w:gridCol w:w="36"/>
        <w:gridCol w:w="36"/>
        <w:gridCol w:w="36"/>
        <w:gridCol w:w="125"/>
        <w:gridCol w:w="619"/>
        <w:gridCol w:w="80"/>
      </w:tblGrid>
      <w:tr w:rsidR="00000000">
        <w:trPr>
          <w:divId w:val="432942708"/>
          <w:jc w:val="center"/>
        </w:trPr>
        <w:tc>
          <w:tcPr>
            <w:tcW w:w="50" w:type="pct"/>
            <w:vAlign w:val="center"/>
            <w:hideMark/>
          </w:tcPr>
          <w:p w:rsidR="00000000" w:rsidRDefault="007258AD">
            <w:pPr>
              <w:jc w:val="both"/>
              <w:rPr>
                <w:rFonts w:eastAsia="Times New Roman"/>
              </w:rPr>
            </w:pPr>
          </w:p>
        </w:tc>
        <w:tc>
          <w:tcPr>
            <w:tcW w:w="215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2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432942708"/>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1-3 Year</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3-5</w:t>
            </w:r>
            <w:r>
              <w:rPr>
                <w:rFonts w:eastAsia="Times New Roman"/>
                <w:b/>
                <w:bCs/>
                <w:color w:val="000000"/>
                <w:sz w:val="16"/>
                <w:szCs w:val="16"/>
              </w:rPr>
              <w:br/>
              <w:t>Year</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More</w:t>
            </w:r>
            <w:r>
              <w:rPr>
                <w:rFonts w:eastAsia="Times New Roman"/>
                <w:b/>
                <w:bCs/>
                <w:color w:val="000000"/>
                <w:sz w:val="16"/>
                <w:szCs w:val="16"/>
              </w:rPr>
              <w:br/>
              <w:t>Than 5</w:t>
            </w:r>
            <w:r>
              <w:rPr>
                <w:rFonts w:eastAsia="Times New Roman"/>
                <w:b/>
                <w:bCs/>
                <w:color w:val="000000"/>
                <w:sz w:val="16"/>
                <w:szCs w:val="16"/>
              </w:rPr>
              <w:br/>
              <w:t>Year</w:t>
            </w:r>
            <w:r>
              <w:rPr>
                <w:rFonts w:eastAsia="Times New Roman"/>
                <w:b/>
                <w:bCs/>
                <w:color w:val="000000"/>
                <w:sz w:val="16"/>
                <w:szCs w:val="16"/>
              </w:rPr>
              <w:t>s</w:t>
            </w:r>
          </w:p>
        </w:tc>
      </w:tr>
      <w:tr w:rsidR="00000000">
        <w:trPr>
          <w:divId w:val="43294270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521550407"/>
              <w:rPr>
                <w:rFonts w:eastAsia="Times New Roman"/>
              </w:rPr>
            </w:pPr>
            <w:r>
              <w:rPr>
                <w:rFonts w:eastAsia="Times New Roman"/>
                <w:color w:val="000000"/>
                <w:sz w:val="18"/>
                <w:szCs w:val="18"/>
              </w:rPr>
              <w:t>Long-term debt obligations</w:t>
            </w:r>
            <w:r>
              <w:rPr>
                <w:rFonts w:eastAsia="Times New Roman"/>
                <w:color w:val="000000"/>
                <w:sz w:val="18"/>
                <w:szCs w:val="18"/>
              </w:rPr>
              <w:t xml:space="preserve"> </w:t>
            </w:r>
            <w:r>
              <w:rPr>
                <w:rFonts w:eastAsia="Times New Roman"/>
                <w:i/>
                <w:iCs/>
                <w:color w:val="000000"/>
                <w:sz w:val="12"/>
                <w:szCs w:val="12"/>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217,000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217,000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046875849"/>
              <w:rPr>
                <w:rFonts w:eastAsia="Times New Roman"/>
              </w:rPr>
            </w:pPr>
            <w:r>
              <w:rPr>
                <w:rFonts w:eastAsia="Times New Roman"/>
                <w:color w:val="000000"/>
                <w:sz w:val="18"/>
                <w:szCs w:val="18"/>
              </w:rPr>
              <w:t>Unconditional purchase obligations with MVPDs</w:t>
            </w:r>
            <w:r>
              <w:rPr>
                <w:rFonts w:eastAsia="Times New Roman"/>
                <w:color w:val="000000"/>
                <w:sz w:val="18"/>
                <w:szCs w:val="18"/>
              </w:rPr>
              <w:t xml:space="preserve"> </w:t>
            </w:r>
            <w:r>
              <w:rPr>
                <w:rFonts w:eastAsia="Times New Roman"/>
                <w:i/>
                <w:iCs/>
                <w:color w:val="000000"/>
                <w:sz w:val="12"/>
                <w:szCs w:val="12"/>
                <w:vertAlign w:val="superscript"/>
              </w:rPr>
              <w:t>(2)</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93,078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36,299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47,518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9,261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1013532101"/>
              <w:rPr>
                <w:rFonts w:eastAsia="Times New Roman"/>
              </w:rPr>
            </w:pPr>
            <w:r>
              <w:rPr>
                <w:rFonts w:eastAsia="Times New Roman"/>
                <w:color w:val="000000"/>
                <w:sz w:val="18"/>
                <w:szCs w:val="18"/>
              </w:rPr>
              <w:t>Operating lease obligations</w:t>
            </w:r>
            <w:r>
              <w:rPr>
                <w:rFonts w:eastAsia="Times New Roman"/>
                <w:color w:val="000000"/>
                <w:sz w:val="18"/>
                <w:szCs w:val="18"/>
              </w:rPr>
              <w:t xml:space="preserve"> </w:t>
            </w:r>
            <w:r>
              <w:rPr>
                <w:rFonts w:eastAsia="Times New Roman"/>
                <w:i/>
                <w:iCs/>
                <w:color w:val="000000"/>
                <w:sz w:val="12"/>
                <w:szCs w:val="12"/>
                <w:vertAlign w:val="superscript"/>
              </w:rPr>
              <w:t>(3)</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69,198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6,360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21,517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18,597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22,724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907572072"/>
              <w:rPr>
                <w:rFonts w:eastAsia="Times New Roman"/>
              </w:rPr>
            </w:pPr>
            <w:r>
              <w:rPr>
                <w:rFonts w:eastAsia="Times New Roman"/>
                <w:color w:val="000000"/>
                <w:sz w:val="18"/>
                <w:szCs w:val="18"/>
              </w:rPr>
              <w:t>Finance lease obligations</w:t>
            </w:r>
            <w:r>
              <w:rPr>
                <w:rFonts w:eastAsia="Times New Roman"/>
                <w:color w:val="000000"/>
                <w:sz w:val="18"/>
                <w:szCs w:val="18"/>
              </w:rPr>
              <w:t xml:space="preserve"> </w:t>
            </w:r>
            <w:r>
              <w:rPr>
                <w:rFonts w:eastAsia="Times New Roman"/>
                <w:i/>
                <w:iCs/>
                <w:color w:val="000000"/>
                <w:sz w:val="12"/>
                <w:szCs w:val="12"/>
                <w:vertAlign w:val="superscript"/>
              </w:rPr>
              <w:t>(4)</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4,070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1,180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2,876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divId w:val="2000033709"/>
              <w:rPr>
                <w:rFonts w:eastAsia="Times New Roman"/>
              </w:rPr>
            </w:pPr>
            <w:r>
              <w:rPr>
                <w:rFonts w:eastAsia="Times New Roman"/>
                <w:color w:val="000000"/>
                <w:sz w:val="18"/>
                <w:szCs w:val="18"/>
              </w:rPr>
              <w:t>Sale-leaseback financing transaction</w:t>
            </w:r>
            <w:r>
              <w:rPr>
                <w:rFonts w:eastAsia="Times New Roman"/>
                <w:color w:val="000000"/>
                <w:sz w:val="18"/>
                <w:szCs w:val="18"/>
              </w:rPr>
              <w:t xml:space="preserve"> </w:t>
            </w:r>
            <w:r>
              <w:rPr>
                <w:rFonts w:eastAsia="Times New Roman"/>
                <w:i/>
                <w:iCs/>
                <w:color w:val="000000"/>
                <w:sz w:val="12"/>
                <w:szCs w:val="12"/>
                <w:vertAlign w:val="superscript"/>
              </w:rPr>
              <w:t>(5)</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2,545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FFFFFF"/>
            <w:tcMar>
              <w:top w:w="30" w:type="dxa"/>
              <w:left w:w="20" w:type="dxa"/>
              <w:bottom w:w="30" w:type="dxa"/>
              <w:right w:w="20" w:type="dxa"/>
            </w:tcMar>
            <w:vAlign w:val="bottom"/>
            <w:hideMark/>
          </w:tcPr>
          <w:p w:rsidR="00000000" w:rsidRDefault="007258AD">
            <w:pPr>
              <w:divId w:val="1518734674"/>
              <w:rPr>
                <w:rFonts w:eastAsia="Times New Roman"/>
              </w:rPr>
            </w:pPr>
            <w:r>
              <w:rPr>
                <w:rFonts w:eastAsia="Times New Roman"/>
                <w:color w:val="000000"/>
                <w:sz w:val="18"/>
                <w:szCs w:val="18"/>
              </w:rPr>
              <w:t>Other long-term obligations</w:t>
            </w:r>
            <w:r>
              <w:rPr>
                <w:rFonts w:eastAsia="Times New Roman"/>
                <w:color w:val="000000"/>
                <w:sz w:val="18"/>
                <w:szCs w:val="18"/>
              </w:rPr>
              <w:t xml:space="preserve"> </w:t>
            </w:r>
            <w:r>
              <w:rPr>
                <w:rFonts w:eastAsia="Times New Roman"/>
                <w:i/>
                <w:iCs/>
                <w:color w:val="000000"/>
                <w:sz w:val="12"/>
                <w:szCs w:val="12"/>
                <w:vertAlign w:val="superscript"/>
              </w:rPr>
              <w:t>(6)</w:t>
            </w:r>
          </w:p>
        </w:tc>
        <w:tc>
          <w:tcPr>
            <w:tcW w:w="0" w:type="auto"/>
            <w:gridSpan w:val="3"/>
            <w:shd w:val="clear" w:color="auto" w:fill="FFFFFF"/>
            <w:tcMar>
              <w:top w:w="15" w:type="dxa"/>
              <w:left w:w="20" w:type="dxa"/>
              <w:bottom w:w="15" w:type="dxa"/>
              <w:right w:w="20" w:type="dxa"/>
            </w:tcMar>
            <w:vAlign w:val="bottom"/>
            <w:hideMark/>
          </w:tcPr>
          <w:p w:rsidR="00000000" w:rsidRDefault="007258A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9,206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5,838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3,368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258A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r w:rsidR="00000000">
        <w:trPr>
          <w:divId w:val="432942708"/>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258AD">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395,097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52,222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292,279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27,872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258A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258AD">
            <w:pPr>
              <w:jc w:val="right"/>
              <w:rPr>
                <w:rFonts w:eastAsia="Times New Roman"/>
              </w:rPr>
            </w:pPr>
            <w:r>
              <w:rPr>
                <w:rFonts w:eastAsia="Times New Roman"/>
                <w:color w:val="000000"/>
                <w:sz w:val="18"/>
                <w:szCs w:val="18"/>
              </w:rPr>
              <w:t>22,724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258AD">
            <w:pPr>
              <w:jc w:val="right"/>
              <w:rPr>
                <w:rFonts w:eastAsia="Times New Roman"/>
              </w:rPr>
            </w:pPr>
            <w:r>
              <w:rPr>
                <w:rFonts w:eastAsia="Times New Roman"/>
                <w:color w:val="000000"/>
                <w:sz w:val="18"/>
                <w:szCs w:val="18"/>
              </w:rPr>
              <w:t> </w:t>
            </w:r>
          </w:p>
        </w:tc>
      </w:tr>
    </w:tbl>
    <w:p w:rsidR="00000000" w:rsidRDefault="007258AD">
      <w:pPr>
        <w:jc w:val="both"/>
        <w:divId w:val="746927636"/>
        <w:rPr>
          <w:rFonts w:eastAsia="Times New Roman"/>
        </w:rPr>
      </w:pPr>
      <w:r>
        <w:rPr>
          <w:rFonts w:eastAsia="Times New Roman"/>
          <w:i/>
          <w:iCs/>
          <w:color w:val="000000"/>
          <w:sz w:val="10"/>
          <w:szCs w:val="10"/>
          <w:vertAlign w:val="superscript"/>
        </w:rPr>
        <w:t>(1)</w:t>
      </w:r>
      <w:r>
        <w:rPr>
          <w:rFonts w:eastAsia="Times New Roman"/>
          <w:i/>
          <w:iCs/>
          <w:color w:val="000000"/>
          <w:sz w:val="10"/>
          <w:szCs w:val="10"/>
          <w:vertAlign w:val="superscript"/>
        </w:rPr>
        <w:t xml:space="preserve"> </w:t>
      </w:r>
      <w:r>
        <w:rPr>
          <w:rFonts w:eastAsia="Times New Roman"/>
          <w:i/>
          <w:iCs/>
          <w:color w:val="000000"/>
          <w:sz w:val="16"/>
          <w:szCs w:val="16"/>
        </w:rPr>
        <w:t>In 2018, we entered into several agreements with Starboard whereby we issued Notes in exchange for cash and shares of Common Stock. In 2019, our wholly-owned subsidiary, Rentrak B.V., entered into a Secured Term Note. See</w:t>
      </w:r>
      <w:r>
        <w:rPr>
          <w:rFonts w:eastAsia="Times New Roman"/>
          <w:i/>
          <w:iCs/>
          <w:color w:val="000000"/>
          <w:sz w:val="16"/>
          <w:szCs w:val="16"/>
        </w:rPr>
        <w:t xml:space="preserve"> </w:t>
      </w:r>
      <w:hyperlink w:anchor="if3309f2850e6489fbcf3fb9276fba379_61" w:history="1">
        <w:r>
          <w:rPr>
            <w:rStyle w:val="a3"/>
            <w:rFonts w:eastAsia="Times New Roman"/>
            <w:i/>
            <w:iCs/>
            <w:sz w:val="16"/>
            <w:szCs w:val="16"/>
          </w:rPr>
          <w:t>Footnote 4</w:t>
        </w:r>
      </w:hyperlink>
      <w:r>
        <w:rPr>
          <w:rFonts w:eastAsia="Times New Roman"/>
          <w:i/>
          <w:iCs/>
          <w:color w:val="000000"/>
          <w:sz w:val="16"/>
          <w:szCs w:val="16"/>
        </w:rPr>
        <w:t>, Long-term Debt for more information</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(2</w:t>
      </w:r>
      <w:r>
        <w:rPr>
          <w:rFonts w:eastAsia="Times New Roman"/>
          <w:i/>
          <w:iCs/>
          <w:color w:val="000000"/>
          <w:sz w:val="10"/>
          <w:szCs w:val="10"/>
          <w:vertAlign w:val="superscript"/>
        </w:rPr>
        <w:t>)</w:t>
      </w:r>
      <w:r>
        <w:rPr>
          <w:rFonts w:eastAsia="Times New Roman"/>
          <w:i/>
          <w:iCs/>
          <w:color w:val="000000"/>
          <w:sz w:val="16"/>
          <w:szCs w:val="16"/>
        </w:rPr>
        <w:t xml:space="preserve"> Unconditional purchase obligations with MVPDs include contractual arrangements with MVPDs for the purchase of TV viewing data that is used in ou</w:t>
      </w:r>
      <w:r>
        <w:rPr>
          <w:rFonts w:eastAsia="Times New Roman"/>
          <w:i/>
          <w:iCs/>
          <w:color w:val="000000"/>
          <w:sz w:val="16"/>
          <w:szCs w:val="16"/>
        </w:rPr>
        <w:t>r products, primarily reported in the Ratings and Planning solution group. If these arrangements are canceled by the MVPDs, we have the ability to terminate contracts with our end customers. Commitments reflected herein relate to future data obligations af</w:t>
      </w:r>
      <w:r>
        <w:rPr>
          <w:rFonts w:eastAsia="Times New Roman"/>
          <w:i/>
          <w:iCs/>
          <w:color w:val="000000"/>
          <w:sz w:val="16"/>
          <w:szCs w:val="16"/>
        </w:rPr>
        <w:t>ter June 30, 2020</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(3)</w:t>
      </w:r>
      <w:r>
        <w:rPr>
          <w:rFonts w:eastAsia="Times New Roman"/>
          <w:i/>
          <w:iCs/>
          <w:color w:val="000000"/>
          <w:sz w:val="10"/>
          <w:szCs w:val="10"/>
          <w:vertAlign w:val="superscript"/>
        </w:rPr>
        <w:t xml:space="preserve"> </w:t>
      </w:r>
      <w:r>
        <w:rPr>
          <w:rFonts w:eastAsia="Times New Roman"/>
          <w:i/>
          <w:iCs/>
          <w:color w:val="000000"/>
          <w:sz w:val="16"/>
          <w:szCs w:val="16"/>
        </w:rPr>
        <w:t>Operating lease obligations represent future lease commitments, primarily for real estate leases, accounted for unde</w:t>
      </w:r>
      <w:r>
        <w:rPr>
          <w:rFonts w:eastAsia="Times New Roman"/>
          <w:i/>
          <w:iCs/>
          <w:color w:val="000000"/>
          <w:sz w:val="16"/>
          <w:szCs w:val="16"/>
        </w:rPr>
        <w:t>r</w:t>
      </w:r>
      <w:r>
        <w:rPr>
          <w:rFonts w:eastAsia="Times New Roman"/>
          <w:b/>
          <w:bCs/>
          <w:i/>
          <w:iCs/>
          <w:color w:val="000000"/>
          <w:sz w:val="16"/>
          <w:szCs w:val="16"/>
        </w:rPr>
        <w:t xml:space="preserve"> </w:t>
      </w:r>
      <w:r>
        <w:rPr>
          <w:rFonts w:eastAsia="Times New Roman"/>
          <w:i/>
          <w:iCs/>
          <w:color w:val="000000"/>
          <w:sz w:val="16"/>
          <w:szCs w:val="16"/>
        </w:rPr>
        <w:t>ASC 842, Leases.</w:t>
      </w:r>
      <w:r>
        <w:rPr>
          <w:rFonts w:eastAsia="Times New Roman"/>
          <w:i/>
          <w:iCs/>
          <w:color w:val="000000"/>
          <w:sz w:val="16"/>
          <w:szCs w:val="16"/>
        </w:rPr>
        <w:t xml:space="preserve"> </w:t>
      </w:r>
    </w:p>
    <w:p w:rsidR="00000000" w:rsidRDefault="007258AD">
      <w:pPr>
        <w:jc w:val="both"/>
        <w:rPr>
          <w:rFonts w:eastAsia="Times New Roman"/>
        </w:rPr>
      </w:pPr>
      <w:r>
        <w:rPr>
          <w:rFonts w:eastAsia="Times New Roman"/>
          <w:i/>
          <w:iCs/>
          <w:color w:val="000000"/>
          <w:sz w:val="10"/>
          <w:szCs w:val="10"/>
          <w:vertAlign w:val="superscript"/>
        </w:rPr>
        <w:t>(4)</w:t>
      </w:r>
      <w:r>
        <w:rPr>
          <w:rFonts w:eastAsia="Times New Roman"/>
          <w:i/>
          <w:iCs/>
          <w:color w:val="000000"/>
          <w:sz w:val="10"/>
          <w:szCs w:val="10"/>
          <w:vertAlign w:val="superscript"/>
        </w:rPr>
        <w:t xml:space="preserve"> </w:t>
      </w:r>
      <w:r>
        <w:rPr>
          <w:rFonts w:eastAsia="Times New Roman"/>
          <w:i/>
          <w:iCs/>
          <w:color w:val="000000"/>
          <w:sz w:val="16"/>
          <w:szCs w:val="16"/>
        </w:rPr>
        <w:t>Finance lease obligations represent future lease commitments, primarily for equipment leases,</w:t>
      </w:r>
      <w:r>
        <w:rPr>
          <w:rFonts w:eastAsia="Times New Roman"/>
          <w:i/>
          <w:iCs/>
          <w:color w:val="000000"/>
          <w:sz w:val="16"/>
          <w:szCs w:val="16"/>
        </w:rPr>
        <w:t xml:space="preserve"> accounted for under ASC 842, Leases</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(5)</w:t>
      </w:r>
      <w:r>
        <w:rPr>
          <w:rFonts w:eastAsia="Times New Roman"/>
          <w:i/>
          <w:iCs/>
          <w:color w:val="000000"/>
          <w:sz w:val="10"/>
          <w:szCs w:val="10"/>
          <w:vertAlign w:val="superscript"/>
        </w:rPr>
        <w:t xml:space="preserve"> </w:t>
      </w:r>
      <w:r>
        <w:rPr>
          <w:rFonts w:eastAsia="Times New Roman"/>
          <w:i/>
          <w:iCs/>
          <w:color w:val="000000"/>
          <w:sz w:val="16"/>
          <w:szCs w:val="16"/>
        </w:rPr>
        <w:t>We entered into a sale-leaseback arrangement with a vendor in June 2019. See</w:t>
      </w:r>
      <w:r>
        <w:rPr>
          <w:rFonts w:eastAsia="Times New Roman"/>
          <w:i/>
          <w:iCs/>
          <w:color w:val="000000"/>
          <w:sz w:val="16"/>
          <w:szCs w:val="16"/>
        </w:rPr>
        <w:t xml:space="preserve"> </w:t>
      </w:r>
      <w:hyperlink w:anchor="if3309f2850e6489fbcf3fb9276fba379_61" w:history="1">
        <w:r>
          <w:rPr>
            <w:rStyle w:val="a3"/>
            <w:rFonts w:eastAsia="Times New Roman"/>
            <w:i/>
            <w:iCs/>
            <w:sz w:val="16"/>
            <w:szCs w:val="16"/>
          </w:rPr>
          <w:t>Footnote 4</w:t>
        </w:r>
      </w:hyperlink>
      <w:r>
        <w:rPr>
          <w:rFonts w:eastAsia="Times New Roman"/>
          <w:i/>
          <w:iCs/>
          <w:color w:val="000000"/>
          <w:sz w:val="16"/>
          <w:szCs w:val="16"/>
        </w:rPr>
        <w:t>, Long-term Debt for more information</w:t>
      </w:r>
      <w:r>
        <w:rPr>
          <w:rFonts w:eastAsia="Times New Roman"/>
          <w:i/>
          <w:iCs/>
          <w:color w:val="000000"/>
          <w:sz w:val="16"/>
          <w:szCs w:val="16"/>
        </w:rPr>
        <w:t>.</w:t>
      </w:r>
    </w:p>
    <w:p w:rsidR="00000000" w:rsidRDefault="007258AD">
      <w:pPr>
        <w:jc w:val="both"/>
        <w:rPr>
          <w:rFonts w:eastAsia="Times New Roman"/>
        </w:rPr>
      </w:pPr>
      <w:r>
        <w:rPr>
          <w:rFonts w:eastAsia="Times New Roman"/>
          <w:i/>
          <w:iCs/>
          <w:color w:val="000000"/>
          <w:sz w:val="10"/>
          <w:szCs w:val="10"/>
          <w:vertAlign w:val="superscript"/>
        </w:rPr>
        <w:t>(6</w:t>
      </w:r>
      <w:r>
        <w:rPr>
          <w:rFonts w:eastAsia="Times New Roman"/>
          <w:i/>
          <w:iCs/>
          <w:color w:val="000000"/>
          <w:sz w:val="10"/>
          <w:szCs w:val="10"/>
          <w:vertAlign w:val="superscript"/>
        </w:rPr>
        <w:t>)</w:t>
      </w:r>
      <w:r>
        <w:rPr>
          <w:rFonts w:eastAsia="Times New Roman"/>
          <w:i/>
          <w:iCs/>
          <w:color w:val="000000"/>
          <w:sz w:val="16"/>
          <w:szCs w:val="16"/>
        </w:rPr>
        <w:t xml:space="preserve"> Other long-term obligatio</w:t>
      </w:r>
      <w:r>
        <w:rPr>
          <w:rFonts w:eastAsia="Times New Roman"/>
          <w:i/>
          <w:iCs/>
          <w:color w:val="000000"/>
          <w:sz w:val="16"/>
          <w:szCs w:val="16"/>
        </w:rPr>
        <w:t>ns include long-term contracts for the acquisition of viewing data from non-MVPD partners, the right to access cloud-based solutions, and future commitments for our data center arrangements</w:t>
      </w:r>
      <w:r>
        <w:rPr>
          <w:rFonts w:eastAsia="Times New Roman"/>
          <w:i/>
          <w:iCs/>
          <w:color w:val="000000"/>
          <w:sz w:val="16"/>
          <w:szCs w:val="16"/>
        </w:rPr>
        <w:t>.</w:t>
      </w:r>
    </w:p>
    <w:p w:rsidR="00000000" w:rsidRDefault="007258AD">
      <w:pPr>
        <w:jc w:val="both"/>
        <w:divId w:val="733314068"/>
        <w:rPr>
          <w:rFonts w:eastAsia="Times New Roman"/>
        </w:rPr>
      </w:pPr>
      <w:r>
        <w:rPr>
          <w:rFonts w:eastAsia="Times New Roman"/>
          <w:b/>
          <w:bCs/>
          <w:i/>
          <w:iCs/>
          <w:color w:val="000000"/>
          <w:sz w:val="20"/>
          <w:szCs w:val="20"/>
        </w:rPr>
        <w:t>Future Capital Requirements</w:t>
      </w:r>
      <w:r>
        <w:rPr>
          <w:rFonts w:eastAsia="Times New Roman"/>
          <w:b/>
          <w:bCs/>
          <w:i/>
          <w:iCs/>
          <w:color w:val="000000"/>
          <w:sz w:val="20"/>
          <w:szCs w:val="20"/>
        </w:rPr>
        <w:t xml:space="preserve"> </w:t>
      </w:r>
    </w:p>
    <w:p w:rsidR="00000000" w:rsidRDefault="007258AD">
      <w:pPr>
        <w:jc w:val="both"/>
        <w:divId w:val="1018434596"/>
        <w:rPr>
          <w:rFonts w:eastAsia="Times New Roman"/>
        </w:rPr>
      </w:pPr>
      <w:r>
        <w:rPr>
          <w:rFonts w:eastAsia="Times New Roman"/>
          <w:color w:val="000000"/>
          <w:sz w:val="20"/>
          <w:szCs w:val="20"/>
        </w:rPr>
        <w:t>Our ability to generate cash is subj</w:t>
      </w:r>
      <w:r>
        <w:rPr>
          <w:rFonts w:eastAsia="Times New Roman"/>
          <w:color w:val="000000"/>
          <w:sz w:val="20"/>
          <w:szCs w:val="20"/>
        </w:rPr>
        <w:t xml:space="preserve">ect to our performance, general economic conditions, industry trends and other factors, including the timing of cash collections from our customers, trade payables, service of our debt and lease facilities, and expenses from ongoing compliance efforts and </w:t>
      </w:r>
      <w:r>
        <w:rPr>
          <w:rFonts w:eastAsia="Times New Roman"/>
          <w:color w:val="000000"/>
          <w:sz w:val="20"/>
          <w:szCs w:val="20"/>
        </w:rPr>
        <w:t>legal matters. As discussed above, we have experienced delays in customer payments and requests to modify contractual payment terms in connection with the COVID-19 pandemic and related government mandates and restrictions. To the extent that our existing c</w:t>
      </w:r>
      <w:r>
        <w:rPr>
          <w:rFonts w:eastAsia="Times New Roman"/>
          <w:color w:val="000000"/>
          <w:sz w:val="20"/>
          <w:szCs w:val="20"/>
        </w:rPr>
        <w:t>ash, cash equivalents and operating cash flow, together with savings from cost-reduction initiatives undertaken by our management and any proceeds from the exercise of warrants sold in the Private Placement, are insufficient to fund our future activities a</w:t>
      </w:r>
      <w:r>
        <w:rPr>
          <w:rFonts w:eastAsia="Times New Roman"/>
          <w:color w:val="000000"/>
          <w:sz w:val="20"/>
          <w:szCs w:val="20"/>
        </w:rPr>
        <w:t>nd requirements, we may need to raise additional funds through public or private equity or debt financing. The current disruption and volatility in global capital and credit markets could impact our ability to access capital resources on terms acceptable t</w:t>
      </w:r>
      <w:r>
        <w:rPr>
          <w:rFonts w:eastAsia="Times New Roman"/>
          <w:color w:val="000000"/>
          <w:sz w:val="20"/>
          <w:szCs w:val="20"/>
        </w:rPr>
        <w:t>o us or allowable under our current financing arrangements, or at all. If we were to issue additional equity securities in order to raise additional funds or pay interest on the Notes and Secured Term Note, further dilution to existing stockholders could o</w:t>
      </w:r>
      <w:r>
        <w:rPr>
          <w:rFonts w:eastAsia="Times New Roman"/>
          <w:color w:val="000000"/>
          <w:sz w:val="20"/>
          <w:szCs w:val="20"/>
        </w:rPr>
        <w:t>ccur</w:t>
      </w:r>
      <w:r>
        <w:rPr>
          <w:rFonts w:eastAsia="Times New Roman"/>
          <w:color w:val="000000"/>
          <w:sz w:val="20"/>
          <w:szCs w:val="20"/>
        </w:rPr>
        <w:t>.</w:t>
      </w:r>
    </w:p>
    <w:p w:rsidR="00000000" w:rsidRDefault="007258AD">
      <w:pPr>
        <w:jc w:val="both"/>
        <w:divId w:val="729882402"/>
        <w:rPr>
          <w:rFonts w:eastAsia="Times New Roman"/>
        </w:rPr>
      </w:pPr>
      <w:r>
        <w:rPr>
          <w:rFonts w:eastAsia="Times New Roman"/>
          <w:b/>
          <w:bCs/>
          <w:i/>
          <w:iCs/>
          <w:color w:val="000000"/>
          <w:sz w:val="20"/>
          <w:szCs w:val="20"/>
        </w:rPr>
        <w:t>Off-Balance Sheet Arrangement</w:t>
      </w:r>
      <w:r>
        <w:rPr>
          <w:rFonts w:eastAsia="Times New Roman"/>
          <w:b/>
          <w:bCs/>
          <w:i/>
          <w:iCs/>
          <w:color w:val="000000"/>
          <w:sz w:val="20"/>
          <w:szCs w:val="20"/>
        </w:rPr>
        <w:t>s</w:t>
      </w:r>
    </w:p>
    <w:p w:rsidR="00000000" w:rsidRDefault="007258AD">
      <w:pPr>
        <w:jc w:val="both"/>
        <w:divId w:val="1621301397"/>
        <w:rPr>
          <w:rFonts w:eastAsia="Times New Roman"/>
        </w:rPr>
      </w:pPr>
      <w:r>
        <w:rPr>
          <w:rFonts w:eastAsia="Times New Roman"/>
          <w:color w:val="000000"/>
          <w:sz w:val="20"/>
          <w:szCs w:val="20"/>
        </w:rPr>
        <w:t>We have no off-balance sheet arrangements (as defined in Item 303 of Regulation S-K) other than certain purchase obligations with MVPDs, which are disclosed in the Contractual Payment Obligations table above.</w:t>
      </w:r>
      <w:r>
        <w:rPr>
          <w:rFonts w:eastAsia="Times New Roman"/>
          <w:color w:val="000000"/>
          <w:sz w:val="20"/>
          <w:szCs w:val="20"/>
        </w:rPr>
        <w:t xml:space="preserve"> </w:t>
      </w:r>
    </w:p>
    <w:p w:rsidR="00000000" w:rsidRDefault="007258AD">
      <w:pPr>
        <w:jc w:val="center"/>
        <w:divId w:val="213276850"/>
        <w:rPr>
          <w:rFonts w:eastAsia="Times New Roman"/>
        </w:rPr>
      </w:pPr>
      <w:r>
        <w:rPr>
          <w:rFonts w:eastAsia="Times New Roman"/>
          <w:color w:val="000000"/>
          <w:sz w:val="20"/>
          <w:szCs w:val="20"/>
        </w:rPr>
        <w:t>3</w:t>
      </w:r>
      <w:r>
        <w:rPr>
          <w:rFonts w:eastAsia="Times New Roman"/>
          <w:color w:val="000000"/>
          <w:sz w:val="20"/>
          <w:szCs w:val="20"/>
        </w:rPr>
        <w:t>3</w:t>
      </w:r>
    </w:p>
    <w:p w:rsidR="00000000" w:rsidRDefault="007258AD">
      <w:pPr>
        <w:rPr>
          <w:rFonts w:eastAsia="Times New Roman"/>
        </w:rPr>
      </w:pPr>
      <w:r>
        <w:rPr>
          <w:rFonts w:eastAsia="Times New Roman"/>
        </w:rPr>
        <w:pict>
          <v:rect id="_x0000_i1060" style="width:0;height:1.5pt" o:hralign="center" o:hrstd="t" o:hr="t" fillcolor="#a0a0a0" stroked="f"/>
        </w:pict>
      </w:r>
    </w:p>
    <w:p w:rsidR="00000000" w:rsidRDefault="007258AD">
      <w:pPr>
        <w:jc w:val="both"/>
        <w:divId w:val="1234466142"/>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234466142"/>
        <w:rPr>
          <w:rFonts w:eastAsia="Times New Roman"/>
        </w:rPr>
      </w:pPr>
    </w:p>
    <w:p w:rsidR="00000000" w:rsidRDefault="007258AD">
      <w:pPr>
        <w:jc w:val="both"/>
        <w:divId w:val="1371883204"/>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rsidR="00000000" w:rsidRDefault="007258AD">
      <w:pPr>
        <w:jc w:val="both"/>
        <w:divId w:val="1860466053"/>
        <w:rPr>
          <w:rFonts w:eastAsia="Times New Roman"/>
        </w:rPr>
      </w:pPr>
      <w:r>
        <w:rPr>
          <w:rFonts w:eastAsia="Times New Roman"/>
          <w:color w:val="000000"/>
          <w:sz w:val="20"/>
          <w:szCs w:val="20"/>
        </w:rPr>
        <w:t>Our discussion and analysis of our financial condition and results of operations are based on our Condensed Consolidated Financial Statements, which have been prepared in accordance with GAAP. The preparation of these financial statements requires us to ma</w:t>
      </w:r>
      <w:r>
        <w:rPr>
          <w:rFonts w:eastAsia="Times New Roman"/>
          <w:color w:val="000000"/>
          <w:sz w:val="20"/>
          <w:szCs w:val="20"/>
        </w:rPr>
        <w:t>ke estimates, assumptions and judgments that affect the amounts reported in our Condensed Consolidated Financial Statements and the accompanying Notes to Condensed Consolidated Financial Statements. We base our estimates on historical experience and on var</w:t>
      </w:r>
      <w:r>
        <w:rPr>
          <w:rFonts w:eastAsia="Times New Roman"/>
          <w:color w:val="000000"/>
          <w:sz w:val="20"/>
          <w:szCs w:val="20"/>
        </w:rPr>
        <w:t>ious other assumptions that we believe to be reasonable under the circumstances, including (with respect to the three and six months ended June 30, 2020) the ongoing and potential impacts of the COVID-19 pandemic and related government mandates and restric</w:t>
      </w:r>
      <w:r>
        <w:rPr>
          <w:rFonts w:eastAsia="Times New Roman"/>
          <w:color w:val="000000"/>
          <w:sz w:val="20"/>
          <w:szCs w:val="20"/>
        </w:rPr>
        <w:t>tions. Actual results may differ from these estimates</w:t>
      </w:r>
      <w:r>
        <w:rPr>
          <w:rFonts w:eastAsia="Times New Roman"/>
          <w:color w:val="000000"/>
          <w:sz w:val="20"/>
          <w:szCs w:val="20"/>
        </w:rPr>
        <w:t>.</w:t>
      </w:r>
    </w:p>
    <w:p w:rsidR="00000000" w:rsidRDefault="007258AD">
      <w:pPr>
        <w:jc w:val="both"/>
        <w:divId w:val="610553372"/>
        <w:rPr>
          <w:rFonts w:eastAsia="Times New Roman"/>
        </w:rPr>
      </w:pPr>
      <w:r>
        <w:rPr>
          <w:rFonts w:eastAsia="Times New Roman"/>
          <w:color w:val="000000"/>
          <w:sz w:val="20"/>
          <w:szCs w:val="20"/>
        </w:rPr>
        <w:t>Our critical accounting policies are those that are both material to the presentation of our financial condition and results of operations and require management's most subjective and complex judgments</w:t>
      </w:r>
      <w:r>
        <w:rPr>
          <w:rFonts w:eastAsia="Times New Roman"/>
          <w:color w:val="000000"/>
          <w:sz w:val="20"/>
          <w:szCs w:val="20"/>
        </w:rPr>
        <w:t>. Other than our accounting policies related to the impairment charges recorded for right-of-use and long-lived assets (which relate to the impact of the COVID-19 pandemic on local real estate markets), there have been no material changes to our critical a</w:t>
      </w:r>
      <w:r>
        <w:rPr>
          <w:rFonts w:eastAsia="Times New Roman"/>
          <w:color w:val="000000"/>
          <w:sz w:val="20"/>
          <w:szCs w:val="20"/>
        </w:rPr>
        <w:t>ccounting policies and estimates during the three and six months ended June 30, 2020 as compared to the critical accounting policies and estimates disclosed in our</w:t>
      </w:r>
      <w:r>
        <w:rPr>
          <w:rFonts w:eastAsia="Times New Roman"/>
          <w:color w:val="000000"/>
          <w:sz w:val="20"/>
          <w:szCs w:val="20"/>
        </w:rPr>
        <w:t> </w:t>
      </w:r>
      <w:hyperlink r:id="rId10" w:history="1">
        <w:r>
          <w:rPr>
            <w:rStyle w:val="a3"/>
            <w:rFonts w:eastAsia="Times New Roman"/>
            <w:sz w:val="20"/>
            <w:szCs w:val="20"/>
          </w:rPr>
          <w:t>2019 10-K</w:t>
        </w:r>
      </w:hyperlink>
      <w:r>
        <w:rPr>
          <w:rFonts w:eastAsia="Times New Roman"/>
          <w:color w:val="000000"/>
          <w:sz w:val="20"/>
          <w:szCs w:val="20"/>
        </w:rPr>
        <w:t>.</w:t>
      </w:r>
    </w:p>
    <w:p w:rsidR="00000000" w:rsidRDefault="007258AD">
      <w:pPr>
        <w:jc w:val="both"/>
        <w:divId w:val="732387841"/>
        <w:rPr>
          <w:rFonts w:eastAsia="Times New Roman"/>
        </w:rPr>
      </w:pPr>
      <w:r>
        <w:rPr>
          <w:rFonts w:eastAsia="Times New Roman"/>
          <w:b/>
          <w:bCs/>
          <w:i/>
          <w:iCs/>
          <w:color w:val="000000"/>
          <w:sz w:val="20"/>
          <w:szCs w:val="20"/>
        </w:rPr>
        <w:t>Impairment of Right-of-use ("ROU") and Long-lived Asset</w:t>
      </w:r>
      <w:r>
        <w:rPr>
          <w:rFonts w:eastAsia="Times New Roman"/>
          <w:b/>
          <w:bCs/>
          <w:i/>
          <w:iCs/>
          <w:color w:val="000000"/>
          <w:sz w:val="20"/>
          <w:szCs w:val="20"/>
        </w:rPr>
        <w:t>s</w:t>
      </w:r>
    </w:p>
    <w:p w:rsidR="00000000" w:rsidRDefault="007258AD">
      <w:pPr>
        <w:jc w:val="both"/>
        <w:divId w:val="208684113"/>
        <w:rPr>
          <w:rFonts w:eastAsia="Times New Roman"/>
        </w:rPr>
      </w:pPr>
      <w:r>
        <w:rPr>
          <w:rFonts w:eastAsia="Times New Roman"/>
          <w:color w:val="000000"/>
          <w:sz w:val="20"/>
          <w:szCs w:val="20"/>
        </w:rPr>
        <w:t>We apply the provisions of Accounting Standards Codification ("ASC") 360,</w:t>
      </w:r>
      <w:r>
        <w:rPr>
          <w:rFonts w:eastAsia="Times New Roman"/>
          <w:color w:val="000000"/>
          <w:sz w:val="20"/>
          <w:szCs w:val="20"/>
        </w:rPr>
        <w:t> </w:t>
      </w:r>
      <w:r>
        <w:rPr>
          <w:rFonts w:eastAsia="Times New Roman"/>
          <w:i/>
          <w:iCs/>
          <w:color w:val="000000"/>
          <w:sz w:val="20"/>
          <w:szCs w:val="20"/>
        </w:rPr>
        <w:t>Property, Plant and Equipmen</w:t>
      </w:r>
      <w:r>
        <w:rPr>
          <w:rFonts w:eastAsia="Times New Roman"/>
          <w:i/>
          <w:iCs/>
          <w:color w:val="000000"/>
          <w:sz w:val="20"/>
          <w:szCs w:val="20"/>
        </w:rPr>
        <w:t>t</w:t>
      </w:r>
      <w:r>
        <w:rPr>
          <w:rFonts w:eastAsia="Times New Roman"/>
          <w:color w:val="000000"/>
          <w:sz w:val="20"/>
          <w:szCs w:val="20"/>
        </w:rPr>
        <w:t>, to determine whether our ROU and related long-lived assets may be impaired</w:t>
      </w:r>
      <w:r>
        <w:rPr>
          <w:rFonts w:eastAsia="Times New Roman"/>
          <w:color w:val="000000"/>
          <w:sz w:val="20"/>
          <w:szCs w:val="20"/>
        </w:rPr>
        <w:t>. We evaluate our ROU and long-lived assets for impairment whenever events or changes in circumstances indicate the carrying value of such assets may not be recoverable. For facility lease ROU and related long-lived assets, we compare the estimated undisco</w:t>
      </w:r>
      <w:r>
        <w:rPr>
          <w:rFonts w:eastAsia="Times New Roman"/>
          <w:color w:val="000000"/>
          <w:sz w:val="20"/>
          <w:szCs w:val="20"/>
        </w:rPr>
        <w:t>unted cash flows generated by a sublease to the current carrying value of the ROU and related long-lived assets. If the undiscounted cash flows are less than the carrying value of the ROU and related long-lived assets, we record an impairment loss equal to</w:t>
      </w:r>
      <w:r>
        <w:rPr>
          <w:rFonts w:eastAsia="Times New Roman"/>
          <w:color w:val="000000"/>
          <w:sz w:val="20"/>
          <w:szCs w:val="20"/>
        </w:rPr>
        <w:t xml:space="preserve"> the excess of the ROU and long-lived assets' carrying value over their fair value consistent with other long-lived assets</w:t>
      </w:r>
      <w:r>
        <w:rPr>
          <w:rFonts w:eastAsia="Times New Roman"/>
          <w:color w:val="000000"/>
          <w:sz w:val="20"/>
          <w:szCs w:val="20"/>
        </w:rPr>
        <w:t>.</w:t>
      </w:r>
    </w:p>
    <w:p w:rsidR="00000000" w:rsidRDefault="007258AD">
      <w:pPr>
        <w:jc w:val="both"/>
        <w:divId w:val="2117367669"/>
        <w:rPr>
          <w:rFonts w:eastAsia="Times New Roman"/>
        </w:rPr>
      </w:pPr>
      <w:r>
        <w:rPr>
          <w:rFonts w:eastAsia="Times New Roman"/>
          <w:color w:val="000000"/>
          <w:sz w:val="20"/>
          <w:szCs w:val="20"/>
        </w:rPr>
        <w:t>We performed an interim analysis as of March 31, 2020, as changes in market conditions indicated the carrying value of certain facil</w:t>
      </w:r>
      <w:r>
        <w:rPr>
          <w:rFonts w:eastAsia="Times New Roman"/>
          <w:color w:val="000000"/>
          <w:sz w:val="20"/>
          <w:szCs w:val="20"/>
        </w:rPr>
        <w:t>ity lease ROU and other long-lived assets may not be recoverable, and determined certain ROU assets, and related leasehold improvements, were impaired. We recorded a $4.7 million impairment charge related to our ROU assets, and related leasehold improvemen</w:t>
      </w:r>
      <w:r>
        <w:rPr>
          <w:rFonts w:eastAsia="Times New Roman"/>
          <w:color w:val="000000"/>
          <w:sz w:val="20"/>
          <w:szCs w:val="20"/>
        </w:rPr>
        <w:t>ts, for the three months ended March 31, 2020, with corresponding adjustments of $2.8 million and $1.9 million to the operating lease ROU asset and property and equipment, net line items, respectively, in the Condensed Consolidated Balance Sheet as of Marc</w:t>
      </w:r>
      <w:r>
        <w:rPr>
          <w:rFonts w:eastAsia="Times New Roman"/>
          <w:color w:val="000000"/>
          <w:sz w:val="20"/>
          <w:szCs w:val="20"/>
        </w:rPr>
        <w:t>h 31, 2020. The impairment charge was driven by changes in our projected undiscounted cash flows for certain properties, primarily as a result of changes in the real estate market related to the COVID-19 pandemic that led to an increase in the estimated ma</w:t>
      </w:r>
      <w:r>
        <w:rPr>
          <w:rFonts w:eastAsia="Times New Roman"/>
          <w:color w:val="000000"/>
          <w:sz w:val="20"/>
          <w:szCs w:val="20"/>
        </w:rPr>
        <w:t>rketing time, and a reduction of expected receipts, for properties currently on the market for sublease. The fair value of these ROU assets, and related leasehold improvements, was estimated using an income approach and a discount rate of 12.0%.</w:t>
      </w:r>
      <w:r>
        <w:rPr>
          <w:rFonts w:eastAsia="Times New Roman"/>
          <w:color w:val="000000"/>
          <w:sz w:val="20"/>
          <w:szCs w:val="20"/>
        </w:rPr>
        <w:t xml:space="preserve"> </w:t>
      </w:r>
    </w:p>
    <w:p w:rsidR="00000000" w:rsidRDefault="007258AD">
      <w:pPr>
        <w:jc w:val="both"/>
        <w:divId w:val="1684429559"/>
        <w:rPr>
          <w:rFonts w:eastAsia="Times New Roman"/>
        </w:rPr>
      </w:pPr>
      <w:r>
        <w:rPr>
          <w:rFonts w:eastAsia="Times New Roman"/>
          <w:color w:val="000000"/>
          <w:sz w:val="20"/>
          <w:szCs w:val="20"/>
        </w:rPr>
        <w:t xml:space="preserve">Although </w:t>
      </w:r>
      <w:r>
        <w:rPr>
          <w:rFonts w:eastAsia="Times New Roman"/>
          <w:color w:val="000000"/>
          <w:sz w:val="20"/>
          <w:szCs w:val="20"/>
        </w:rPr>
        <w:t xml:space="preserve">we believe that the carrying values of our long-lived assets are appropriately stated, future changes in strategy or market conditions, significant technological developments or significant changes in legal or regulatory factors could significantly impact </w:t>
      </w:r>
      <w:r>
        <w:rPr>
          <w:rFonts w:eastAsia="Times New Roman"/>
          <w:color w:val="000000"/>
          <w:sz w:val="20"/>
          <w:szCs w:val="20"/>
        </w:rPr>
        <w:t>these judgments and require adjustments to recorded asset balances</w:t>
      </w:r>
      <w:r>
        <w:rPr>
          <w:rFonts w:eastAsia="Times New Roman"/>
          <w:color w:val="000000"/>
          <w:sz w:val="20"/>
          <w:szCs w:val="20"/>
        </w:rPr>
        <w:t>.</w:t>
      </w:r>
    </w:p>
    <w:p w:rsidR="00000000" w:rsidRDefault="007258AD">
      <w:pPr>
        <w:jc w:val="both"/>
        <w:divId w:val="1326786983"/>
        <w:rPr>
          <w:rFonts w:eastAsia="Times New Roman"/>
        </w:rPr>
      </w:pPr>
    </w:p>
    <w:p w:rsidR="00000000" w:rsidRDefault="007258AD">
      <w:pPr>
        <w:jc w:val="both"/>
        <w:divId w:val="188375417"/>
        <w:rPr>
          <w:rFonts w:eastAsia="Times New Roman"/>
        </w:rPr>
      </w:pPr>
    </w:p>
    <w:p w:rsidR="00000000" w:rsidRDefault="007258AD">
      <w:pPr>
        <w:jc w:val="both"/>
        <w:divId w:val="339427719"/>
        <w:rPr>
          <w:rFonts w:eastAsia="Times New Roman"/>
        </w:rPr>
      </w:pPr>
    </w:p>
    <w:p w:rsidR="00000000" w:rsidRDefault="007258AD">
      <w:pPr>
        <w:jc w:val="center"/>
        <w:divId w:val="2017420996"/>
        <w:rPr>
          <w:rFonts w:eastAsia="Times New Roman"/>
        </w:rPr>
      </w:pPr>
      <w:r>
        <w:rPr>
          <w:rFonts w:eastAsia="Times New Roman"/>
          <w:color w:val="000000"/>
          <w:sz w:val="20"/>
          <w:szCs w:val="20"/>
        </w:rPr>
        <w:t>3</w:t>
      </w:r>
      <w:r>
        <w:rPr>
          <w:rFonts w:eastAsia="Times New Roman"/>
          <w:color w:val="000000"/>
          <w:sz w:val="20"/>
          <w:szCs w:val="20"/>
        </w:rPr>
        <w:t>4</w:t>
      </w:r>
    </w:p>
    <w:p w:rsidR="00000000" w:rsidRDefault="007258AD">
      <w:pPr>
        <w:rPr>
          <w:rFonts w:eastAsia="Times New Roman"/>
        </w:rPr>
      </w:pPr>
      <w:r>
        <w:rPr>
          <w:rFonts w:eastAsia="Times New Roman"/>
        </w:rPr>
        <w:pict>
          <v:rect id="_x0000_i1061" style="width:0;height:1.5pt" o:hralign="center" o:hrstd="t" o:hr="t" fillcolor="#a0a0a0" stroked="f"/>
        </w:pict>
      </w:r>
    </w:p>
    <w:p w:rsidR="00000000" w:rsidRDefault="007258AD">
      <w:pPr>
        <w:jc w:val="both"/>
        <w:divId w:val="105723993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057239931"/>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9"/>
        <w:gridCol w:w="617"/>
        <w:gridCol w:w="78"/>
        <w:gridCol w:w="78"/>
        <w:gridCol w:w="6948"/>
        <w:gridCol w:w="79"/>
      </w:tblGrid>
      <w:tr w:rsidR="00000000">
        <w:trPr>
          <w:divId w:val="519703561"/>
        </w:trPr>
        <w:tc>
          <w:tcPr>
            <w:tcW w:w="50" w:type="pct"/>
            <w:vAlign w:val="center"/>
            <w:hideMark/>
          </w:tcPr>
          <w:p w:rsidR="00000000" w:rsidRDefault="007258AD">
            <w:pPr>
              <w:jc w:val="both"/>
              <w:rPr>
                <w:rFonts w:eastAsia="Times New Roman"/>
              </w:rPr>
            </w:pPr>
          </w:p>
        </w:tc>
        <w:tc>
          <w:tcPr>
            <w:tcW w:w="39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40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519703561"/>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20"/>
                <w:szCs w:val="20"/>
              </w:rPr>
              <w:t>ITEM 3.</w:t>
            </w:r>
            <w:r>
              <w:rPr>
                <w:rFonts w:eastAsia="Times New Roman"/>
                <w:b/>
                <w:bCs/>
                <w:color w:val="000000"/>
                <w:sz w:val="20"/>
                <w:szCs w:val="20"/>
              </w:rPr>
              <w:t xml:space="preserve"> </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QUANTITATIVE AND QUALITATIVE DISCLOSURES ABOUT MARKET RIS</w:t>
            </w:r>
            <w:r>
              <w:rPr>
                <w:rFonts w:eastAsia="Times New Roman"/>
                <w:b/>
                <w:bCs/>
                <w:i/>
                <w:iCs/>
                <w:color w:val="000000"/>
                <w:sz w:val="20"/>
                <w:szCs w:val="20"/>
              </w:rPr>
              <w:t>K</w:t>
            </w:r>
          </w:p>
        </w:tc>
      </w:tr>
    </w:tbl>
    <w:p w:rsidR="00000000" w:rsidRDefault="007258AD">
      <w:pPr>
        <w:jc w:val="both"/>
        <w:divId w:val="1088230649"/>
        <w:rPr>
          <w:rFonts w:eastAsia="Times New Roman"/>
        </w:rPr>
      </w:pPr>
      <w:r>
        <w:rPr>
          <w:rFonts w:eastAsia="Times New Roman"/>
          <w:color w:val="000000"/>
          <w:sz w:val="20"/>
          <w:szCs w:val="20"/>
        </w:rPr>
        <w:t xml:space="preserve">Market risk represents the risk of loss that may impact our financial position due to adverse changes in financial market prices and rates. We are subject to interest rate risk in connection with the Notes, and we hold derivative financial instruments and </w:t>
      </w:r>
      <w:r>
        <w:rPr>
          <w:rFonts w:eastAsia="Times New Roman"/>
          <w:color w:val="000000"/>
          <w:sz w:val="20"/>
          <w:szCs w:val="20"/>
        </w:rPr>
        <w:t>have outstanding warrants that are subject to market risk. We also have foreign currency exchange rate risk from our global operations, although we do not believe this risk to be significant. Except as set forth below, there have been no material changes i</w:t>
      </w:r>
      <w:r>
        <w:rPr>
          <w:rFonts w:eastAsia="Times New Roman"/>
          <w:color w:val="000000"/>
          <w:sz w:val="20"/>
          <w:szCs w:val="20"/>
        </w:rPr>
        <w:t>n our exposure to market risk during the three months ended June 30, 2020 as compared to our market risk disclosures set forth in</w:t>
      </w:r>
      <w:r>
        <w:rPr>
          <w:rFonts w:eastAsia="Times New Roman"/>
          <w:color w:val="000000"/>
          <w:sz w:val="20"/>
          <w:szCs w:val="20"/>
        </w:rPr>
        <w:t xml:space="preserve"> </w:t>
      </w:r>
      <w:hyperlink r:id="rId11" w:anchor="s812518ADE712562398C9FFA452CC0A3E" w:history="1">
        <w:r>
          <w:rPr>
            <w:rStyle w:val="a3"/>
            <w:rFonts w:eastAsia="Times New Roman"/>
            <w:sz w:val="20"/>
            <w:szCs w:val="20"/>
          </w:rPr>
          <w:t>Item 7A</w:t>
        </w:r>
      </w:hyperlink>
      <w:r>
        <w:rPr>
          <w:rFonts w:eastAsia="Times New Roman"/>
          <w:color w:val="000000"/>
          <w:sz w:val="20"/>
          <w:szCs w:val="20"/>
        </w:rPr>
        <w:t>, "Quantitative and Qualitative Disclosures About Market Risk" within the 2019 10-K</w:t>
      </w:r>
      <w:r>
        <w:rPr>
          <w:rFonts w:eastAsia="Times New Roman"/>
          <w:color w:val="000000"/>
          <w:sz w:val="20"/>
          <w:szCs w:val="20"/>
        </w:rPr>
        <w:t>.</w:t>
      </w:r>
    </w:p>
    <w:p w:rsidR="00000000" w:rsidRDefault="007258AD">
      <w:pPr>
        <w:jc w:val="both"/>
        <w:divId w:val="641270199"/>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7258AD">
      <w:pPr>
        <w:jc w:val="both"/>
        <w:divId w:val="1075781079"/>
        <w:rPr>
          <w:rFonts w:eastAsia="Times New Roman"/>
        </w:rPr>
      </w:pPr>
      <w:r>
        <w:rPr>
          <w:rFonts w:eastAsia="Times New Roman"/>
          <w:color w:val="000000"/>
          <w:sz w:val="20"/>
          <w:szCs w:val="20"/>
        </w:rPr>
        <w:t>As a result of having $204.0 million aggregate principal amount of Notes outstanding, which are convertible into shares of Common S</w:t>
      </w:r>
      <w:r>
        <w:rPr>
          <w:rFonts w:eastAsia="Times New Roman"/>
          <w:color w:val="000000"/>
          <w:sz w:val="20"/>
          <w:szCs w:val="20"/>
        </w:rPr>
        <w:t>tock at a conversion price of $31.29 per share (the "Conversion Price"), we are subject to interest rate risk. As of June 30, 2020, the interest rate on the Notes was 12.0% per year. The interest rate reset on January 30, 2020 and will remain at 12.0% (sub</w:t>
      </w:r>
      <w:r>
        <w:rPr>
          <w:rFonts w:eastAsia="Times New Roman"/>
          <w:color w:val="000000"/>
          <w:sz w:val="20"/>
          <w:szCs w:val="20"/>
        </w:rPr>
        <w:t xml:space="preserve">ject to certain conditions) until February 1, 2021 (the "Interest Reset Date"). On the Interest Reset Date, the interest rate will reset based on the then-applicable Conversion Premium which is calculated by dividing the Conversion Price by the arithmetic </w:t>
      </w:r>
      <w:r>
        <w:rPr>
          <w:rFonts w:eastAsia="Times New Roman"/>
          <w:color w:val="000000"/>
          <w:sz w:val="20"/>
          <w:szCs w:val="20"/>
        </w:rPr>
        <w:t>average of the volume-weighted average trading prices of our Common Stock on each of the ten consecutive trading days immediately preceding the applicable Interest Reset Date (the "VWAP"). The interest rate is then determined in accordance with the table b</w:t>
      </w:r>
      <w:r>
        <w:rPr>
          <w:rFonts w:eastAsia="Times New Roman"/>
          <w:color w:val="000000"/>
          <w:sz w:val="20"/>
          <w:szCs w:val="20"/>
        </w:rPr>
        <w:t>elow, which includes theoretical VWAP calculations</w:t>
      </w:r>
      <w:r>
        <w:rPr>
          <w:rFonts w:eastAsia="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68"/>
        <w:gridCol w:w="2555"/>
        <w:gridCol w:w="69"/>
        <w:gridCol w:w="36"/>
        <w:gridCol w:w="36"/>
        <w:gridCol w:w="36"/>
        <w:gridCol w:w="69"/>
        <w:gridCol w:w="2555"/>
        <w:gridCol w:w="69"/>
        <w:gridCol w:w="36"/>
        <w:gridCol w:w="36"/>
        <w:gridCol w:w="36"/>
        <w:gridCol w:w="69"/>
        <w:gridCol w:w="2555"/>
        <w:gridCol w:w="69"/>
      </w:tblGrid>
      <w:tr w:rsidR="00000000">
        <w:trPr>
          <w:divId w:val="1494295962"/>
          <w:jc w:val="center"/>
        </w:trPr>
        <w:tc>
          <w:tcPr>
            <w:tcW w:w="50" w:type="pct"/>
            <w:vAlign w:val="center"/>
            <w:hideMark/>
          </w:tcPr>
          <w:p w:rsidR="00000000" w:rsidRDefault="007258AD">
            <w:pPr>
              <w:jc w:val="both"/>
              <w:rPr>
                <w:rFonts w:eastAsia="Times New Roman"/>
              </w:rPr>
            </w:pPr>
          </w:p>
        </w:tc>
        <w:tc>
          <w:tcPr>
            <w:tcW w:w="154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54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7"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548"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 xml:space="preserve">If the Conversion Premium </w:t>
            </w:r>
            <w:r>
              <w:rPr>
                <w:rFonts w:eastAsia="Times New Roman"/>
                <w:b/>
                <w:bCs/>
                <w:color w:val="000000"/>
                <w:sz w:val="16"/>
                <w:szCs w:val="16"/>
              </w:rPr>
              <w:br/>
              <w:t>(as of the applicable </w:t>
            </w:r>
            <w:r>
              <w:rPr>
                <w:rFonts w:eastAsia="Times New Roman"/>
                <w:b/>
                <w:bCs/>
                <w:color w:val="000000"/>
                <w:sz w:val="16"/>
                <w:szCs w:val="16"/>
              </w:rPr>
              <w:br/>
              <w:t>Interest Reset Date) is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Implied VWA</w:t>
            </w:r>
            <w:r>
              <w:rPr>
                <w:rFonts w:eastAsia="Times New Roman"/>
                <w:b/>
                <w:bCs/>
                <w:color w:val="000000"/>
                <w:sz w:val="16"/>
                <w:szCs w:val="16"/>
              </w:rPr>
              <w:t>P</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b/>
                <w:bCs/>
                <w:color w:val="000000"/>
                <w:sz w:val="16"/>
                <w:szCs w:val="16"/>
              </w:rPr>
              <w:t>Then the Interest Rate from</w:t>
            </w:r>
            <w:r>
              <w:rPr>
                <w:rFonts w:eastAsia="Times New Roman"/>
                <w:b/>
                <w:bCs/>
                <w:color w:val="000000"/>
                <w:sz w:val="16"/>
                <w:szCs w:val="16"/>
              </w:rPr>
              <w:br/>
              <w:t>the applicable Interest Reset</w:t>
            </w:r>
            <w:r>
              <w:rPr>
                <w:rFonts w:eastAsia="Times New Roman"/>
                <w:b/>
                <w:bCs/>
                <w:color w:val="000000"/>
                <w:sz w:val="16"/>
                <w:szCs w:val="16"/>
              </w:rPr>
              <w:br/>
            </w:r>
            <w:r>
              <w:rPr>
                <w:rFonts w:eastAsia="Times New Roman"/>
                <w:b/>
                <w:bCs/>
                <w:color w:val="000000"/>
                <w:sz w:val="16"/>
                <w:szCs w:val="16"/>
              </w:rPr>
              <w:t>Date until the next</w:t>
            </w:r>
            <w:r>
              <w:rPr>
                <w:rFonts w:eastAsia="Times New Roman"/>
                <w:b/>
                <w:bCs/>
                <w:color w:val="000000"/>
                <w:sz w:val="16"/>
                <w:szCs w:val="16"/>
              </w:rPr>
              <w:br/>
              <w:t>subsequent Interest Reset</w:t>
            </w:r>
            <w:r>
              <w:rPr>
                <w:rFonts w:eastAsia="Times New Roman"/>
                <w:b/>
                <w:bCs/>
                <w:color w:val="000000"/>
                <w:sz w:val="16"/>
                <w:szCs w:val="16"/>
              </w:rPr>
              <w:br/>
              <w:t>Date shall be</w:t>
            </w:r>
            <w:r>
              <w:rPr>
                <w:rFonts w:eastAsia="Times New Roman"/>
                <w:b/>
                <w:bCs/>
                <w:color w:val="000000"/>
                <w:sz w:val="16"/>
                <w:szCs w:val="16"/>
              </w:rPr>
              <w:t>:</w:t>
            </w:r>
          </w:p>
        </w:tc>
      </w:tr>
      <w:tr w:rsidR="00000000">
        <w:trPr>
          <w:divId w:val="149429596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1.0 or les</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$31.29 or highe</w:t>
            </w:r>
            <w:r>
              <w:rPr>
                <w:rFonts w:eastAsia="Times New Roman"/>
                <w:color w:val="000000"/>
                <w:sz w:val="18"/>
                <w:szCs w:val="18"/>
              </w:rPr>
              <w:t>r</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4.0</w:t>
            </w:r>
            <w:r>
              <w:rPr>
                <w:rFonts w:eastAsia="Times New Roman"/>
                <w:color w:val="000000"/>
                <w:sz w:val="18"/>
                <w:szCs w:val="18"/>
              </w:rPr>
              <w:t>%</w:t>
            </w: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1.0</w:t>
            </w:r>
            <w:r>
              <w:rPr>
                <w:rFonts w:eastAsia="Times New Roman"/>
                <w:color w:val="000000"/>
                <w:sz w:val="18"/>
                <w:szCs w:val="18"/>
              </w:rPr>
              <w:t>5</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$29.8</w:t>
            </w:r>
            <w:r>
              <w:rPr>
                <w:rFonts w:eastAsia="Times New Roman"/>
                <w:color w:val="000000"/>
                <w:sz w:val="18"/>
                <w:szCs w:val="18"/>
              </w:rPr>
              <w:t>0</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4.3</w:t>
            </w:r>
            <w:r>
              <w:rPr>
                <w:rFonts w:eastAsia="Times New Roman"/>
                <w:color w:val="000000"/>
                <w:sz w:val="18"/>
                <w:szCs w:val="18"/>
              </w:rPr>
              <w:t>%</w:t>
            </w:r>
          </w:p>
        </w:tc>
      </w:tr>
      <w:tr w:rsidR="00000000">
        <w:trPr>
          <w:divId w:val="149429596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1.1</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$28.4</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4.7</w:t>
            </w:r>
            <w:r>
              <w:rPr>
                <w:rFonts w:eastAsia="Times New Roman"/>
                <w:color w:val="000000"/>
                <w:sz w:val="18"/>
                <w:szCs w:val="18"/>
              </w:rPr>
              <w:t>%</w:t>
            </w: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1.1</w:t>
            </w:r>
            <w:r>
              <w:rPr>
                <w:rFonts w:eastAsia="Times New Roman"/>
                <w:color w:val="000000"/>
                <w:sz w:val="18"/>
                <w:szCs w:val="18"/>
              </w:rPr>
              <w:t>5</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$27.2</w:t>
            </w:r>
            <w:r>
              <w:rPr>
                <w:rFonts w:eastAsia="Times New Roman"/>
                <w:color w:val="000000"/>
                <w:sz w:val="18"/>
                <w:szCs w:val="18"/>
              </w:rPr>
              <w:t>1</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5.0</w:t>
            </w:r>
            <w:r>
              <w:rPr>
                <w:rFonts w:eastAsia="Times New Roman"/>
                <w:color w:val="000000"/>
                <w:sz w:val="18"/>
                <w:szCs w:val="18"/>
              </w:rPr>
              <w:t>%</w:t>
            </w:r>
          </w:p>
        </w:tc>
      </w:tr>
      <w:tr w:rsidR="00000000">
        <w:trPr>
          <w:divId w:val="149429596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$26.0</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5.3</w:t>
            </w:r>
            <w:r>
              <w:rPr>
                <w:rFonts w:eastAsia="Times New Roman"/>
                <w:color w:val="000000"/>
                <w:sz w:val="18"/>
                <w:szCs w:val="18"/>
              </w:rPr>
              <w:t>%</w:t>
            </w: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w:t>
            </w:r>
            <w:r>
              <w:rPr>
                <w:rFonts w:eastAsia="Times New Roman"/>
                <w:color w:val="000000"/>
                <w:sz w:val="18"/>
                <w:szCs w:val="18"/>
              </w:rPr>
              <w:t>5</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$25.0</w:t>
            </w:r>
            <w:r>
              <w:rPr>
                <w:rFonts w:eastAsia="Times New Roman"/>
                <w:color w:val="000000"/>
                <w:sz w:val="18"/>
                <w:szCs w:val="18"/>
              </w:rPr>
              <w:t>3</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5.7</w:t>
            </w:r>
            <w:r>
              <w:rPr>
                <w:rFonts w:eastAsia="Times New Roman"/>
                <w:color w:val="000000"/>
                <w:sz w:val="18"/>
                <w:szCs w:val="18"/>
              </w:rPr>
              <w:t>%</w:t>
            </w:r>
          </w:p>
        </w:tc>
      </w:tr>
      <w:tr w:rsidR="00000000">
        <w:trPr>
          <w:divId w:val="149429596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1.3</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$24.0</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6.0</w:t>
            </w:r>
            <w:r>
              <w:rPr>
                <w:rFonts w:eastAsia="Times New Roman"/>
                <w:color w:val="000000"/>
                <w:sz w:val="18"/>
                <w:szCs w:val="18"/>
              </w:rPr>
              <w:t>%</w:t>
            </w: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1.3</w:t>
            </w:r>
            <w:r>
              <w:rPr>
                <w:rFonts w:eastAsia="Times New Roman"/>
                <w:color w:val="000000"/>
                <w:sz w:val="18"/>
                <w:szCs w:val="18"/>
              </w:rPr>
              <w:t>5</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$23.1</w:t>
            </w:r>
            <w:r>
              <w:rPr>
                <w:rFonts w:eastAsia="Times New Roman"/>
                <w:color w:val="000000"/>
                <w:sz w:val="18"/>
                <w:szCs w:val="18"/>
              </w:rPr>
              <w:t>8</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8.0</w:t>
            </w:r>
            <w:r>
              <w:rPr>
                <w:rFonts w:eastAsia="Times New Roman"/>
                <w:color w:val="000000"/>
                <w:sz w:val="18"/>
                <w:szCs w:val="18"/>
              </w:rPr>
              <w:t>%</w:t>
            </w:r>
          </w:p>
        </w:tc>
      </w:tr>
      <w:tr w:rsidR="00000000">
        <w:trPr>
          <w:divId w:val="1494295962"/>
          <w:jc w:val="center"/>
        </w:trPr>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1.4</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$22.3</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10.0</w:t>
            </w:r>
            <w:r>
              <w:rPr>
                <w:rFonts w:eastAsia="Times New Roman"/>
                <w:color w:val="000000"/>
                <w:sz w:val="18"/>
                <w:szCs w:val="18"/>
              </w:rPr>
              <w:t>%</w:t>
            </w:r>
          </w:p>
        </w:tc>
      </w:tr>
      <w:tr w:rsidR="00000000">
        <w:trPr>
          <w:divId w:val="1494295962"/>
          <w:jc w:val="center"/>
        </w:trPr>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1.45 or highe</w:t>
            </w:r>
            <w:r>
              <w:rPr>
                <w:rFonts w:eastAsia="Times New Roman"/>
                <w:color w:val="000000"/>
                <w:sz w:val="18"/>
                <w:szCs w:val="18"/>
              </w:rPr>
              <w:t>r</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$21.58 or les</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7258A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258AD">
            <w:pPr>
              <w:jc w:val="center"/>
              <w:rPr>
                <w:rFonts w:eastAsia="Times New Roman"/>
              </w:rPr>
            </w:pPr>
            <w:r>
              <w:rPr>
                <w:rFonts w:eastAsia="Times New Roman"/>
                <w:color w:val="000000"/>
                <w:sz w:val="18"/>
                <w:szCs w:val="18"/>
              </w:rPr>
              <w:t>12.0</w:t>
            </w:r>
            <w:r>
              <w:rPr>
                <w:rFonts w:eastAsia="Times New Roman"/>
                <w:color w:val="000000"/>
                <w:sz w:val="18"/>
                <w:szCs w:val="18"/>
              </w:rPr>
              <w:t>%</w:t>
            </w:r>
          </w:p>
        </w:tc>
      </w:tr>
    </w:tbl>
    <w:p w:rsidR="00000000" w:rsidRDefault="007258AD">
      <w:pPr>
        <w:jc w:val="both"/>
        <w:divId w:val="230429007"/>
        <w:rPr>
          <w:rFonts w:eastAsia="Times New Roman"/>
        </w:rPr>
      </w:pPr>
      <w:r>
        <w:rPr>
          <w:rFonts w:eastAsia="Times New Roman"/>
          <w:color w:val="000000"/>
          <w:sz w:val="20"/>
          <w:szCs w:val="20"/>
        </w:rPr>
        <w:t>If the Conversion Premium is between two Conversion Premium amounts in the table above, the interest rate is determined by straight-line interpolation between the interest rates for the higher and lower Conversion Premium amounts</w:t>
      </w:r>
      <w:r>
        <w:rPr>
          <w:rFonts w:eastAsia="Times New Roman"/>
          <w:color w:val="000000"/>
          <w:sz w:val="20"/>
          <w:szCs w:val="20"/>
        </w:rPr>
        <w:t>.</w:t>
      </w:r>
    </w:p>
    <w:p w:rsidR="00000000" w:rsidRDefault="007258AD">
      <w:pPr>
        <w:jc w:val="both"/>
        <w:divId w:val="35156678"/>
        <w:rPr>
          <w:rFonts w:eastAsia="Times New Roman"/>
        </w:rPr>
      </w:pPr>
      <w:r>
        <w:rPr>
          <w:rFonts w:eastAsia="Times New Roman"/>
          <w:color w:val="000000"/>
          <w:sz w:val="20"/>
          <w:szCs w:val="20"/>
        </w:rPr>
        <w:t>As discussed in</w:t>
      </w:r>
      <w:r>
        <w:rPr>
          <w:rFonts w:eastAsia="Times New Roman"/>
          <w:color w:val="000000"/>
          <w:sz w:val="20"/>
          <w:szCs w:val="20"/>
        </w:rPr>
        <w:t xml:space="preserve"> </w:t>
      </w:r>
      <w:hyperlink w:anchor="if3309f2850e6489fbcf3fb9276fba379_61" w:history="1">
        <w:r>
          <w:rPr>
            <w:rStyle w:val="a3"/>
            <w:rFonts w:eastAsia="Times New Roman"/>
            <w:sz w:val="20"/>
            <w:szCs w:val="20"/>
          </w:rPr>
          <w:t>Footnote 4</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Long-term Deb</w:t>
      </w:r>
      <w:r>
        <w:rPr>
          <w:rFonts w:eastAsia="Times New Roman"/>
          <w:i/>
          <w:iCs/>
          <w:color w:val="000000"/>
          <w:sz w:val="20"/>
          <w:szCs w:val="20"/>
        </w:rPr>
        <w:t>t</w:t>
      </w:r>
      <w:r>
        <w:rPr>
          <w:rFonts w:eastAsia="Times New Roman"/>
          <w:color w:val="000000"/>
          <w:sz w:val="20"/>
          <w:szCs w:val="20"/>
        </w:rPr>
        <w:t>, we have the ability, subject to certain conditions, to pay interest on the Notes through the issuance of PIK Interest Shares. We elected to pay the inter</w:t>
      </w:r>
      <w:r>
        <w:rPr>
          <w:rFonts w:eastAsia="Times New Roman"/>
          <w:color w:val="000000"/>
          <w:sz w:val="20"/>
          <w:szCs w:val="20"/>
        </w:rPr>
        <w:t>est due on January 2, 2020, April 1, 2020 and July 1, 2020 in cash</w:t>
      </w:r>
      <w:r>
        <w:rPr>
          <w:rFonts w:eastAsia="Times New Roman"/>
          <w:color w:val="000000"/>
          <w:sz w:val="20"/>
          <w:szCs w:val="20"/>
        </w:rPr>
        <w:t>.</w:t>
      </w:r>
    </w:p>
    <w:p w:rsidR="00000000" w:rsidRDefault="007258AD">
      <w:pPr>
        <w:jc w:val="both"/>
        <w:divId w:val="1088385560"/>
        <w:rPr>
          <w:rFonts w:eastAsia="Times New Roman"/>
        </w:rPr>
      </w:pPr>
      <w:r>
        <w:rPr>
          <w:rFonts w:eastAsia="Times New Roman"/>
          <w:b/>
          <w:bCs/>
          <w:color w:val="000000"/>
          <w:sz w:val="20"/>
          <w:szCs w:val="20"/>
        </w:rPr>
        <w:t>Interest rate reset derivative financial instrument, warrants liability financial instrument, and foreign currency ris</w:t>
      </w:r>
      <w:r>
        <w:rPr>
          <w:rFonts w:eastAsia="Times New Roman"/>
          <w:b/>
          <w:bCs/>
          <w:color w:val="000000"/>
          <w:sz w:val="20"/>
          <w:szCs w:val="20"/>
        </w:rPr>
        <w:t>k</w:t>
      </w:r>
    </w:p>
    <w:p w:rsidR="00000000" w:rsidRDefault="007258AD">
      <w:pPr>
        <w:jc w:val="both"/>
        <w:divId w:val="659046594"/>
        <w:rPr>
          <w:rFonts w:eastAsia="Times New Roman"/>
        </w:rPr>
      </w:pPr>
      <w:r>
        <w:rPr>
          <w:rFonts w:eastAsia="Times New Roman"/>
          <w:color w:val="000000"/>
          <w:sz w:val="20"/>
          <w:szCs w:val="20"/>
        </w:rPr>
        <w:t>For discussion of market risk associated with our interest rate rese</w:t>
      </w:r>
      <w:r>
        <w:rPr>
          <w:rFonts w:eastAsia="Times New Roman"/>
          <w:color w:val="000000"/>
          <w:sz w:val="20"/>
          <w:szCs w:val="20"/>
        </w:rPr>
        <w:t>t derivative financial instrument, warrants liability financial instrument, and foreign currency risk, refer to</w:t>
      </w:r>
      <w:r>
        <w:rPr>
          <w:rFonts w:eastAsia="Times New Roman"/>
          <w:color w:val="000000"/>
          <w:sz w:val="20"/>
          <w:szCs w:val="20"/>
        </w:rPr>
        <w:t xml:space="preserve"> </w:t>
      </w:r>
      <w:hyperlink r:id="rId12" w:anchor="s812518ADE712562398C9FFA452CC0A3E" w:history="1">
        <w:r>
          <w:rPr>
            <w:rStyle w:val="a3"/>
            <w:rFonts w:eastAsia="Times New Roman"/>
            <w:sz w:val="20"/>
            <w:szCs w:val="20"/>
          </w:rPr>
          <w:t>Item</w:t>
        </w:r>
        <w:r>
          <w:rPr>
            <w:rStyle w:val="a3"/>
            <w:rFonts w:eastAsia="Times New Roman"/>
            <w:sz w:val="20"/>
            <w:szCs w:val="20"/>
          </w:rPr>
          <w:t xml:space="preserve"> 7A</w:t>
        </w:r>
      </w:hyperlink>
      <w:r>
        <w:rPr>
          <w:rFonts w:eastAsia="Times New Roman"/>
          <w:color w:val="000000"/>
          <w:sz w:val="20"/>
          <w:szCs w:val="20"/>
        </w:rPr>
        <w:t>, "Quantitative and Qualitative Disclosures About Market Risk" in the 2019 10-K.</w:t>
      </w:r>
      <w:r>
        <w:rPr>
          <w:rFonts w:eastAsia="Times New Roman"/>
          <w:color w:val="000000"/>
          <w:sz w:val="20"/>
          <w:szCs w:val="20"/>
        </w:rPr>
        <w:t xml:space="preserve"> </w:t>
      </w:r>
    </w:p>
    <w:p w:rsidR="00000000" w:rsidRDefault="007258AD">
      <w:pPr>
        <w:jc w:val="center"/>
        <w:divId w:val="1680161118"/>
        <w:rPr>
          <w:rFonts w:eastAsia="Times New Roman"/>
        </w:rPr>
      </w:pPr>
      <w:r>
        <w:rPr>
          <w:rFonts w:eastAsia="Times New Roman"/>
          <w:color w:val="000000"/>
          <w:sz w:val="20"/>
          <w:szCs w:val="20"/>
        </w:rPr>
        <w:t>3</w:t>
      </w:r>
      <w:r>
        <w:rPr>
          <w:rFonts w:eastAsia="Times New Roman"/>
          <w:color w:val="000000"/>
          <w:sz w:val="20"/>
          <w:szCs w:val="20"/>
        </w:rPr>
        <w:t>5</w:t>
      </w:r>
    </w:p>
    <w:p w:rsidR="00000000" w:rsidRDefault="007258AD">
      <w:pPr>
        <w:rPr>
          <w:rFonts w:eastAsia="Times New Roman"/>
        </w:rPr>
      </w:pPr>
      <w:r>
        <w:rPr>
          <w:rFonts w:eastAsia="Times New Roman"/>
        </w:rPr>
        <w:pict>
          <v:rect id="_x0000_i1062" style="width:0;height:1.5pt" o:hralign="center" o:hrstd="t" o:hr="t" fillcolor="#a0a0a0" stroked="f"/>
        </w:pict>
      </w:r>
    </w:p>
    <w:p w:rsidR="00000000" w:rsidRDefault="007258AD">
      <w:pPr>
        <w:jc w:val="both"/>
        <w:divId w:val="789250472"/>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789250472"/>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78"/>
        <w:gridCol w:w="708"/>
        <w:gridCol w:w="79"/>
        <w:gridCol w:w="79"/>
        <w:gridCol w:w="6856"/>
        <w:gridCol w:w="79"/>
      </w:tblGrid>
      <w:tr w:rsidR="00000000">
        <w:trPr>
          <w:divId w:val="391001697"/>
        </w:trPr>
        <w:tc>
          <w:tcPr>
            <w:tcW w:w="50" w:type="pct"/>
            <w:vAlign w:val="center"/>
            <w:hideMark/>
          </w:tcPr>
          <w:p w:rsidR="00000000" w:rsidRDefault="007258AD">
            <w:pPr>
              <w:jc w:val="both"/>
              <w:rPr>
                <w:rFonts w:eastAsia="Times New Roman"/>
              </w:rPr>
            </w:pPr>
          </w:p>
        </w:tc>
        <w:tc>
          <w:tcPr>
            <w:tcW w:w="44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5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391001697"/>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4</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CONTROLS AND PROCEDURE</w:t>
            </w:r>
            <w:r>
              <w:rPr>
                <w:rFonts w:eastAsia="Times New Roman"/>
                <w:b/>
                <w:bCs/>
                <w:i/>
                <w:iCs/>
                <w:color w:val="000000"/>
                <w:sz w:val="20"/>
                <w:szCs w:val="20"/>
              </w:rPr>
              <w:t>S</w:t>
            </w:r>
          </w:p>
        </w:tc>
      </w:tr>
    </w:tbl>
    <w:p w:rsidR="00000000" w:rsidRDefault="007258AD">
      <w:pPr>
        <w:jc w:val="both"/>
        <w:divId w:val="1273320628"/>
        <w:rPr>
          <w:rFonts w:eastAsia="Times New Roman"/>
        </w:rPr>
      </w:pPr>
      <w:r>
        <w:rPr>
          <w:rFonts w:eastAsia="Times New Roman"/>
          <w:b/>
          <w:bCs/>
          <w:color w:val="000000"/>
          <w:sz w:val="20"/>
          <w:szCs w:val="20"/>
          <w:u w:val="single"/>
        </w:rPr>
        <w:t>Evaluation of Disclosure Controls and Procedure</w:t>
      </w:r>
      <w:r>
        <w:rPr>
          <w:rFonts w:eastAsia="Times New Roman"/>
          <w:b/>
          <w:bCs/>
          <w:color w:val="000000"/>
          <w:sz w:val="20"/>
          <w:szCs w:val="20"/>
          <w:u w:val="single"/>
        </w:rPr>
        <w:t>s</w:t>
      </w:r>
    </w:p>
    <w:p w:rsidR="00000000" w:rsidRDefault="007258AD">
      <w:pPr>
        <w:jc w:val="both"/>
        <w:divId w:val="265306066"/>
        <w:rPr>
          <w:rFonts w:eastAsia="Times New Roman"/>
        </w:rPr>
      </w:pPr>
      <w:r>
        <w:rPr>
          <w:rFonts w:eastAsia="Times New Roman"/>
          <w:color w:val="000000"/>
          <w:sz w:val="20"/>
          <w:szCs w:val="20"/>
        </w:rPr>
        <w:t>We carried out an evaluation required by the Securities Exchange Act of 1934 (the "Exchange Act"), under the supervision and with the participation of our principal executive officer and our principal financ</w:t>
      </w:r>
      <w:r>
        <w:rPr>
          <w:rFonts w:eastAsia="Times New Roman"/>
          <w:color w:val="000000"/>
          <w:sz w:val="20"/>
          <w:szCs w:val="20"/>
        </w:rPr>
        <w:t>ial officer, of the effectiveness of the design and operation of our disclosure controls and procedures, as defined in Rules 13a-15(e) and 15d-15(e) of the Exchange Act, as of June 30, 2020. Based on this evaluation, our principal executive officer and pri</w:t>
      </w:r>
      <w:r>
        <w:rPr>
          <w:rFonts w:eastAsia="Times New Roman"/>
          <w:color w:val="000000"/>
          <w:sz w:val="20"/>
          <w:szCs w:val="20"/>
        </w:rPr>
        <w:t>ncipal financial officer concluded that as of June 30, 2020, these disclosure controls and procedures were effective to provide reasonable assurance that information required to be disclosed by us in the reports that we file or submit under the Exchange Ac</w:t>
      </w:r>
      <w:r>
        <w:rPr>
          <w:rFonts w:eastAsia="Times New Roman"/>
          <w:color w:val="000000"/>
          <w:sz w:val="20"/>
          <w:szCs w:val="20"/>
        </w:rPr>
        <w:t>t is recorded, processed, summarized, and reported within the time periods specified in the SEC's rules and forms and to provide reasonable assurance that such information is accumulated and communicated to our management, including our principal executive</w:t>
      </w:r>
      <w:r>
        <w:rPr>
          <w:rFonts w:eastAsia="Times New Roman"/>
          <w:color w:val="000000"/>
          <w:sz w:val="20"/>
          <w:szCs w:val="20"/>
        </w:rPr>
        <w:t xml:space="preserve"> officer and principal financial officer, as appropriate to allow timely decisions regarding required disclosure</w:t>
      </w:r>
      <w:r>
        <w:rPr>
          <w:rFonts w:eastAsia="Times New Roman"/>
          <w:color w:val="000000"/>
          <w:sz w:val="20"/>
          <w:szCs w:val="20"/>
        </w:rPr>
        <w:t>.</w:t>
      </w:r>
    </w:p>
    <w:p w:rsidR="00000000" w:rsidRDefault="007258AD">
      <w:pPr>
        <w:jc w:val="both"/>
        <w:divId w:val="2022199103"/>
        <w:rPr>
          <w:rFonts w:eastAsia="Times New Roman"/>
        </w:rPr>
      </w:pPr>
      <w:r>
        <w:rPr>
          <w:rFonts w:eastAsia="Times New Roman"/>
          <w:b/>
          <w:bCs/>
          <w:color w:val="000000"/>
          <w:sz w:val="20"/>
          <w:szCs w:val="20"/>
          <w:u w:val="single"/>
        </w:rPr>
        <w:t>Changes in Internal Control over Financial Reportin</w:t>
      </w:r>
      <w:r>
        <w:rPr>
          <w:rFonts w:eastAsia="Times New Roman"/>
          <w:b/>
          <w:bCs/>
          <w:color w:val="000000"/>
          <w:sz w:val="20"/>
          <w:szCs w:val="20"/>
          <w:u w:val="single"/>
        </w:rPr>
        <w:t>g</w:t>
      </w:r>
    </w:p>
    <w:p w:rsidR="00000000" w:rsidRDefault="007258AD">
      <w:pPr>
        <w:jc w:val="both"/>
        <w:divId w:val="1335494832"/>
        <w:rPr>
          <w:rFonts w:eastAsia="Times New Roman"/>
        </w:rPr>
      </w:pPr>
      <w:r>
        <w:rPr>
          <w:rFonts w:eastAsia="Times New Roman"/>
          <w:color w:val="000000"/>
          <w:sz w:val="20"/>
          <w:szCs w:val="20"/>
        </w:rPr>
        <w:t>Under Exchange Act Rules 13a-15(d) and 15d-15(d), management is required to evaluate, wit</w:t>
      </w:r>
      <w:r>
        <w:rPr>
          <w:rFonts w:eastAsia="Times New Roman"/>
          <w:color w:val="000000"/>
          <w:sz w:val="20"/>
          <w:szCs w:val="20"/>
        </w:rPr>
        <w:t>h the participation of our principal executive officer and our principal financial officer, any changes in internal control over financial reporting that occurred during each fiscal quarter that materially affected, or are reasonably likely to materially a</w:t>
      </w:r>
      <w:r>
        <w:rPr>
          <w:rFonts w:eastAsia="Times New Roman"/>
          <w:color w:val="000000"/>
          <w:sz w:val="20"/>
          <w:szCs w:val="20"/>
        </w:rPr>
        <w:t xml:space="preserve">ffect, our internal control over financial reporting. During the most recent fiscal quarter, there has not occurred any change in our internal control over financial reporting that has materially affected, or is reasonably likely to materially affect, our </w:t>
      </w:r>
      <w:r>
        <w:rPr>
          <w:rFonts w:eastAsia="Times New Roman"/>
          <w:color w:val="000000"/>
          <w:sz w:val="20"/>
          <w:szCs w:val="20"/>
        </w:rPr>
        <w:t>internal control over financial reporting. As of the date of this filing, we have not experienced a material change in our internal control over financial reporting related to the COVID-19 pandemic, including with respect to remote work arrangements for ou</w:t>
      </w:r>
      <w:r>
        <w:rPr>
          <w:rFonts w:eastAsia="Times New Roman"/>
          <w:color w:val="000000"/>
          <w:sz w:val="20"/>
          <w:szCs w:val="20"/>
        </w:rPr>
        <w:t>r employees. However, we will continue to monitor and assess circumstances related to the COVID-19 pandemic and our workforce to minimize any negative impact on the design and effectiveness of our internal control</w:t>
      </w:r>
      <w:r>
        <w:rPr>
          <w:rFonts w:eastAsia="Times New Roman"/>
          <w:color w:val="000000"/>
          <w:sz w:val="20"/>
          <w:szCs w:val="20"/>
        </w:rPr>
        <w:t>.</w:t>
      </w:r>
    </w:p>
    <w:p w:rsidR="00000000" w:rsidRDefault="007258AD">
      <w:pPr>
        <w:jc w:val="both"/>
        <w:divId w:val="1194881252"/>
        <w:rPr>
          <w:rFonts w:eastAsia="Times New Roman"/>
        </w:rPr>
      </w:pPr>
      <w:r>
        <w:rPr>
          <w:rFonts w:eastAsia="Times New Roman"/>
          <w:b/>
          <w:bCs/>
          <w:color w:val="000000"/>
          <w:sz w:val="20"/>
          <w:szCs w:val="20"/>
          <w:u w:val="single"/>
        </w:rPr>
        <w:t xml:space="preserve">Inherent Limitation on the Effectiveness </w:t>
      </w:r>
      <w:r>
        <w:rPr>
          <w:rFonts w:eastAsia="Times New Roman"/>
          <w:b/>
          <w:bCs/>
          <w:color w:val="000000"/>
          <w:sz w:val="20"/>
          <w:szCs w:val="20"/>
          <w:u w:val="single"/>
        </w:rPr>
        <w:t>of Internal Control</w:t>
      </w:r>
      <w:r>
        <w:rPr>
          <w:rFonts w:eastAsia="Times New Roman"/>
          <w:b/>
          <w:bCs/>
          <w:color w:val="000000"/>
          <w:sz w:val="20"/>
          <w:szCs w:val="20"/>
          <w:u w:val="single"/>
        </w:rPr>
        <w:t>s</w:t>
      </w:r>
    </w:p>
    <w:p w:rsidR="00000000" w:rsidRDefault="007258AD">
      <w:pPr>
        <w:jc w:val="both"/>
        <w:divId w:val="2126653799"/>
        <w:rPr>
          <w:rFonts w:eastAsia="Times New Roman"/>
        </w:rPr>
      </w:pPr>
      <w:r>
        <w:rPr>
          <w:rFonts w:eastAsia="Times New Roman"/>
          <w:color w:val="000000"/>
          <w:sz w:val="20"/>
          <w:szCs w:val="20"/>
        </w:rPr>
        <w:t xml:space="preserve">The effectiveness of any system of internal control over financial reporting is subject to inherent limitations, including the exercise of judgment in designing, implementing, operating, and evaluating the controls and procedures, and </w:t>
      </w:r>
      <w:r>
        <w:rPr>
          <w:rFonts w:eastAsia="Times New Roman"/>
          <w:color w:val="000000"/>
          <w:sz w:val="20"/>
          <w:szCs w:val="20"/>
        </w:rPr>
        <w:t>the inability to eliminate misconduct completely. Accordingly, any system of internal control over financial reporting can only provide reasonable, not absolute, assurance that its objectives will be met. In addition, projections of any evaluation of effec</w:t>
      </w:r>
      <w:r>
        <w:rPr>
          <w:rFonts w:eastAsia="Times New Roman"/>
          <w:color w:val="000000"/>
          <w:sz w:val="20"/>
          <w:szCs w:val="20"/>
        </w:rPr>
        <w:t>tiveness to future periods are subject to the risk that controls may become inadequate because of changes in conditions, or that the degree of compliance with the policies or procedures may deteriorate. We intend to continue to monitor and upgrade our inte</w:t>
      </w:r>
      <w:r>
        <w:rPr>
          <w:rFonts w:eastAsia="Times New Roman"/>
          <w:color w:val="000000"/>
          <w:sz w:val="20"/>
          <w:szCs w:val="20"/>
        </w:rPr>
        <w:t>rnal controls as necessary or appropriate for our business, but we cannot assure that such improvements will be sufficient to provide us with effective internal control over financial reporting in future periods</w:t>
      </w:r>
      <w:r>
        <w:rPr>
          <w:rFonts w:eastAsia="Times New Roman"/>
          <w:color w:val="000000"/>
          <w:sz w:val="20"/>
          <w:szCs w:val="20"/>
        </w:rPr>
        <w:t>.</w:t>
      </w:r>
    </w:p>
    <w:p w:rsidR="00000000" w:rsidRDefault="007258AD">
      <w:pPr>
        <w:jc w:val="center"/>
        <w:divId w:val="1871333771"/>
        <w:rPr>
          <w:rFonts w:eastAsia="Times New Roman"/>
        </w:rPr>
      </w:pPr>
      <w:r>
        <w:rPr>
          <w:rFonts w:eastAsia="Times New Roman"/>
          <w:color w:val="000000"/>
          <w:sz w:val="20"/>
          <w:szCs w:val="20"/>
        </w:rPr>
        <w:t>3</w:t>
      </w:r>
      <w:r>
        <w:rPr>
          <w:rFonts w:eastAsia="Times New Roman"/>
          <w:color w:val="000000"/>
          <w:sz w:val="20"/>
          <w:szCs w:val="20"/>
        </w:rPr>
        <w:t>6</w:t>
      </w:r>
    </w:p>
    <w:p w:rsidR="00000000" w:rsidRDefault="007258AD">
      <w:pPr>
        <w:rPr>
          <w:rFonts w:eastAsia="Times New Roman"/>
        </w:rPr>
      </w:pPr>
      <w:r>
        <w:rPr>
          <w:rFonts w:eastAsia="Times New Roman"/>
        </w:rPr>
        <w:pict>
          <v:rect id="_x0000_i1063" style="width:0;height:1.5pt" o:hralign="center" o:hrstd="t" o:hr="t" fillcolor="#a0a0a0" stroked="f"/>
        </w:pict>
      </w:r>
    </w:p>
    <w:p w:rsidR="00000000" w:rsidRDefault="007258AD">
      <w:pPr>
        <w:jc w:val="both"/>
        <w:divId w:val="499929203"/>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499929203"/>
        <w:rPr>
          <w:rFonts w:eastAsia="Times New Roman"/>
        </w:rPr>
      </w:pPr>
    </w:p>
    <w:p w:rsidR="00000000" w:rsidRDefault="007258AD">
      <w:pPr>
        <w:jc w:val="center"/>
        <w:rPr>
          <w:rFonts w:eastAsia="Times New Roman"/>
        </w:rPr>
      </w:pPr>
    </w:p>
    <w:p w:rsidR="00000000" w:rsidRDefault="007258AD">
      <w:pPr>
        <w:jc w:val="center"/>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7258AD">
      <w:pPr>
        <w:jc w:val="both"/>
        <w:rPr>
          <w:rFonts w:eastAsia="Times New Roman"/>
        </w:rPr>
      </w:pPr>
      <w:r>
        <w:rPr>
          <w:rFonts w:eastAsia="Times New Roman"/>
          <w:color w:val="000000"/>
          <w:sz w:val="18"/>
          <w:szCs w:val="18"/>
        </w:rPr>
        <w:t> </w:t>
      </w:r>
    </w:p>
    <w:tbl>
      <w:tblPr>
        <w:tblW w:w="4743" w:type="pct"/>
        <w:tblCellMar>
          <w:top w:w="15" w:type="dxa"/>
          <w:left w:w="15" w:type="dxa"/>
          <w:bottom w:w="15" w:type="dxa"/>
          <w:right w:w="15" w:type="dxa"/>
        </w:tblCellMar>
        <w:tblLook w:val="04A0" w:firstRow="1" w:lastRow="0" w:firstColumn="1" w:lastColumn="0" w:noHBand="0" w:noVBand="1"/>
      </w:tblPr>
      <w:tblGrid>
        <w:gridCol w:w="78"/>
        <w:gridCol w:w="708"/>
        <w:gridCol w:w="79"/>
        <w:gridCol w:w="79"/>
        <w:gridCol w:w="6856"/>
        <w:gridCol w:w="79"/>
      </w:tblGrid>
      <w:tr w:rsidR="00000000">
        <w:trPr>
          <w:divId w:val="2074694056"/>
        </w:trPr>
        <w:tc>
          <w:tcPr>
            <w:tcW w:w="50" w:type="pct"/>
            <w:vAlign w:val="center"/>
            <w:hideMark/>
          </w:tcPr>
          <w:p w:rsidR="00000000" w:rsidRDefault="007258AD">
            <w:pPr>
              <w:jc w:val="both"/>
              <w:rPr>
                <w:rFonts w:eastAsia="Times New Roman"/>
              </w:rPr>
            </w:pPr>
          </w:p>
        </w:tc>
        <w:tc>
          <w:tcPr>
            <w:tcW w:w="44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5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074694056"/>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1</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LEGAL PROCEEDING</w:t>
            </w:r>
            <w:r>
              <w:rPr>
                <w:rFonts w:eastAsia="Times New Roman"/>
                <w:b/>
                <w:bCs/>
                <w:i/>
                <w:iCs/>
                <w:color w:val="000000"/>
                <w:sz w:val="20"/>
                <w:szCs w:val="20"/>
              </w:rPr>
              <w:t>S</w:t>
            </w:r>
          </w:p>
        </w:tc>
      </w:tr>
    </w:tbl>
    <w:p w:rsidR="00000000" w:rsidRDefault="007258AD">
      <w:pPr>
        <w:jc w:val="both"/>
        <w:divId w:val="956528585"/>
        <w:rPr>
          <w:rFonts w:eastAsia="Times New Roman"/>
        </w:rPr>
      </w:pPr>
      <w:r>
        <w:rPr>
          <w:rFonts w:eastAsia="Times New Roman"/>
          <w:color w:val="000000"/>
          <w:sz w:val="20"/>
          <w:szCs w:val="20"/>
        </w:rPr>
        <w:t>For a discussion of material legal proceedings in which we are involved, please refer to</w:t>
      </w:r>
      <w:r>
        <w:rPr>
          <w:rFonts w:eastAsia="Times New Roman"/>
          <w:color w:val="000000"/>
          <w:sz w:val="20"/>
          <w:szCs w:val="20"/>
        </w:rPr>
        <w:t xml:space="preserve"> </w:t>
      </w:r>
      <w:hyperlink w:anchor="if3309f2850e6489fbcf3fb9276fba379_91" w:history="1">
        <w:r>
          <w:rPr>
            <w:rStyle w:val="a3"/>
            <w:rFonts w:eastAsia="Times New Roman"/>
            <w:sz w:val="20"/>
            <w:szCs w:val="20"/>
          </w:rPr>
          <w:t>Footnote 9</w:t>
        </w:r>
      </w:hyperlink>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Commitments and Contingencie</w:t>
      </w:r>
      <w:r>
        <w:rPr>
          <w:rFonts w:eastAsia="Times New Roman"/>
          <w:i/>
          <w:iCs/>
          <w:color w:val="000000"/>
          <w:sz w:val="20"/>
          <w:szCs w:val="20"/>
        </w:rPr>
        <w:t>s</w:t>
      </w:r>
      <w:r>
        <w:rPr>
          <w:rFonts w:eastAsia="Times New Roman"/>
          <w:color w:val="000000"/>
          <w:sz w:val="20"/>
          <w:szCs w:val="20"/>
        </w:rPr>
        <w:t xml:space="preserve"> of the Notes to Condensed Consolidated Financial Statements includ</w:t>
      </w:r>
      <w:r>
        <w:rPr>
          <w:rFonts w:eastAsia="Times New Roman"/>
          <w:color w:val="000000"/>
          <w:sz w:val="20"/>
          <w:szCs w:val="20"/>
        </w:rPr>
        <w:t>ed in Part I,</w:t>
      </w:r>
      <w:r>
        <w:rPr>
          <w:rFonts w:eastAsia="Times New Roman"/>
          <w:color w:val="000000"/>
          <w:sz w:val="20"/>
          <w:szCs w:val="20"/>
        </w:rPr>
        <w:t xml:space="preserve"> </w:t>
      </w:r>
      <w:hyperlink w:anchor="if3309f2850e6489fbcf3fb9276fba379_16" w:history="1">
        <w:r>
          <w:rPr>
            <w:rStyle w:val="a3"/>
            <w:rFonts w:eastAsia="Times New Roman"/>
            <w:sz w:val="20"/>
            <w:szCs w:val="20"/>
          </w:rPr>
          <w:t>Item 1</w:t>
        </w:r>
      </w:hyperlink>
      <w:r>
        <w:rPr>
          <w:rFonts w:eastAsia="Times New Roman"/>
          <w:color w:val="000000"/>
          <w:sz w:val="20"/>
          <w:szCs w:val="20"/>
        </w:rPr>
        <w:t xml:space="preserve"> of this 10-Q, which is incorporated herein by reference</w:t>
      </w:r>
      <w:r>
        <w:rPr>
          <w:rFonts w:eastAsia="Times New Roman"/>
          <w:color w:val="000000"/>
          <w:sz w:val="20"/>
          <w:szCs w:val="20"/>
        </w:rPr>
        <w:t>.</w:t>
      </w:r>
    </w:p>
    <w:p w:rsidR="00000000" w:rsidRDefault="007258AD">
      <w:pPr>
        <w:jc w:val="both"/>
        <w:divId w:val="230430943"/>
        <w:rPr>
          <w:rFonts w:eastAsia="Times New Roman"/>
        </w:rPr>
      </w:pPr>
    </w:p>
    <w:tbl>
      <w:tblPr>
        <w:tblW w:w="4743" w:type="pct"/>
        <w:tblCellMar>
          <w:top w:w="15" w:type="dxa"/>
          <w:left w:w="15" w:type="dxa"/>
          <w:bottom w:w="15" w:type="dxa"/>
          <w:right w:w="15" w:type="dxa"/>
        </w:tblCellMar>
        <w:tblLook w:val="04A0" w:firstRow="1" w:lastRow="0" w:firstColumn="1" w:lastColumn="0" w:noHBand="0" w:noVBand="1"/>
      </w:tblPr>
      <w:tblGrid>
        <w:gridCol w:w="84"/>
        <w:gridCol w:w="751"/>
        <w:gridCol w:w="83"/>
        <w:gridCol w:w="61"/>
        <w:gridCol w:w="6838"/>
        <w:gridCol w:w="62"/>
      </w:tblGrid>
      <w:tr w:rsidR="00000000">
        <w:trPr>
          <w:divId w:val="519855909"/>
        </w:trPr>
        <w:tc>
          <w:tcPr>
            <w:tcW w:w="50" w:type="pct"/>
            <w:vAlign w:val="center"/>
            <w:hideMark/>
          </w:tcPr>
          <w:p w:rsidR="00000000" w:rsidRDefault="007258AD">
            <w:pPr>
              <w:jc w:val="both"/>
              <w:rPr>
                <w:rFonts w:eastAsia="Times New Roman"/>
              </w:rPr>
            </w:pPr>
          </w:p>
        </w:tc>
        <w:tc>
          <w:tcPr>
            <w:tcW w:w="44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5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519855909"/>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1A</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RISK FACTOR</w:t>
            </w:r>
            <w:r>
              <w:rPr>
                <w:rFonts w:eastAsia="Times New Roman"/>
                <w:b/>
                <w:bCs/>
                <w:i/>
                <w:iCs/>
                <w:color w:val="000000"/>
                <w:sz w:val="20"/>
                <w:szCs w:val="20"/>
              </w:rPr>
              <w:t>S</w:t>
            </w:r>
          </w:p>
        </w:tc>
      </w:tr>
    </w:tbl>
    <w:p w:rsidR="00000000" w:rsidRDefault="007258AD">
      <w:pPr>
        <w:jc w:val="both"/>
        <w:divId w:val="1052075024"/>
        <w:rPr>
          <w:rFonts w:eastAsia="Times New Roman"/>
        </w:rPr>
      </w:pPr>
      <w:r>
        <w:rPr>
          <w:rFonts w:eastAsia="Times New Roman"/>
          <w:i/>
          <w:iCs/>
          <w:color w:val="000000"/>
          <w:sz w:val="20"/>
          <w:szCs w:val="20"/>
        </w:rPr>
        <w:t>An investment in our Common Stock involves a substantial risk of loss. In addition to the information in this report, you should carefully consider the risks discussed in</w:t>
      </w:r>
      <w:r>
        <w:rPr>
          <w:rFonts w:eastAsia="Times New Roman"/>
          <w:i/>
          <w:iCs/>
          <w:color w:val="000000"/>
          <w:sz w:val="20"/>
          <w:szCs w:val="20"/>
        </w:rPr>
        <w:t xml:space="preserve"> </w:t>
      </w:r>
      <w:hyperlink r:id="rId13" w:anchor="s626CB24FF3DC5DF49DE365CF200BB9B8" w:history="1">
        <w:r>
          <w:rPr>
            <w:rStyle w:val="a3"/>
            <w:rFonts w:eastAsia="Times New Roman"/>
            <w:i/>
            <w:iCs/>
            <w:sz w:val="20"/>
            <w:szCs w:val="20"/>
          </w:rPr>
          <w:t>Item 1A</w:t>
        </w:r>
      </w:hyperlink>
      <w:r>
        <w:rPr>
          <w:rFonts w:eastAsia="Times New Roman"/>
          <w:i/>
          <w:iCs/>
          <w:color w:val="000000"/>
          <w:sz w:val="20"/>
          <w:szCs w:val="20"/>
        </w:rPr>
        <w:t xml:space="preserve"> "Risk Factors" of our 2019 10-K and</w:t>
      </w:r>
      <w:r>
        <w:rPr>
          <w:rFonts w:eastAsia="Times New Roman"/>
          <w:i/>
          <w:iCs/>
          <w:color w:val="000000"/>
          <w:sz w:val="20"/>
          <w:szCs w:val="20"/>
        </w:rPr>
        <w:t xml:space="preserve"> </w:t>
      </w:r>
      <w:hyperlink r:id="rId14" w:anchor="s3EC6014FADF05EAF91A36EA1DA966AC1" w:history="1">
        <w:r>
          <w:rPr>
            <w:rStyle w:val="a3"/>
            <w:rFonts w:eastAsia="Times New Roman"/>
            <w:i/>
            <w:iCs/>
            <w:sz w:val="20"/>
            <w:szCs w:val="20"/>
          </w:rPr>
          <w:t>Item 1A</w:t>
        </w:r>
      </w:hyperlink>
      <w:r>
        <w:rPr>
          <w:rFonts w:eastAsia="Times New Roman"/>
          <w:i/>
          <w:iCs/>
          <w:color w:val="000000"/>
          <w:sz w:val="20"/>
          <w:szCs w:val="20"/>
        </w:rPr>
        <w:t xml:space="preserve"> </w:t>
      </w:r>
      <w:r>
        <w:rPr>
          <w:rFonts w:eastAsia="Times New Roman"/>
          <w:i/>
          <w:iCs/>
          <w:color w:val="000000"/>
          <w:sz w:val="20"/>
          <w:szCs w:val="20"/>
        </w:rPr>
        <w:t>"Risk Factors" of our Quarterly Report on Form 10-Q for the quarter ended March 31, 2020 (the "Q1 2020 10-Q") before you decide whether to invest in our Common Stock. The risks identified below and in our 2019 10-K and Q1 2020 10-Q could materially and adv</w:t>
      </w:r>
      <w:r>
        <w:rPr>
          <w:rFonts w:eastAsia="Times New Roman"/>
          <w:i/>
          <w:iCs/>
          <w:color w:val="000000"/>
          <w:sz w:val="20"/>
          <w:szCs w:val="20"/>
        </w:rPr>
        <w:t>ersely affect our business, financial condition and operating results. In that case, the trading price of our Common Stock could decline, and you could lose part or all of your investment. The risks described below and in our 2019 10-K and Q1 2020 10-Q are</w:t>
      </w:r>
      <w:r>
        <w:rPr>
          <w:rFonts w:eastAsia="Times New Roman"/>
          <w:i/>
          <w:iCs/>
          <w:color w:val="000000"/>
          <w:sz w:val="20"/>
          <w:szCs w:val="20"/>
        </w:rPr>
        <w:t xml:space="preserve"> not the only risks we face. Additional risks and uncertainties not currently known to us or that we currently deem to be immaterial also may materially and adversely affect our business, financial condition and operating results, and may result in the los</w:t>
      </w:r>
      <w:r>
        <w:rPr>
          <w:rFonts w:eastAsia="Times New Roman"/>
          <w:i/>
          <w:iCs/>
          <w:color w:val="000000"/>
          <w:sz w:val="20"/>
          <w:szCs w:val="20"/>
        </w:rPr>
        <w:t>s of part or all of your investment</w:t>
      </w:r>
      <w:r>
        <w:rPr>
          <w:rFonts w:eastAsia="Times New Roman"/>
          <w:i/>
          <w:iCs/>
          <w:color w:val="000000"/>
          <w:sz w:val="20"/>
          <w:szCs w:val="20"/>
        </w:rPr>
        <w:t>.</w:t>
      </w:r>
    </w:p>
    <w:p w:rsidR="00000000" w:rsidRDefault="007258AD">
      <w:pPr>
        <w:jc w:val="both"/>
        <w:divId w:val="1678575364"/>
        <w:rPr>
          <w:rFonts w:eastAsia="Times New Roman"/>
        </w:rPr>
      </w:pPr>
      <w:r>
        <w:rPr>
          <w:rFonts w:eastAsia="Times New Roman"/>
          <w:b/>
          <w:bCs/>
          <w:i/>
          <w:iCs/>
          <w:color w:val="000000"/>
          <w:sz w:val="20"/>
          <w:szCs w:val="20"/>
        </w:rPr>
        <w:t>The COVID-19 pandemic and related economic repercussions could have material adverse effects on our business, financial position, results of operations and cash flows</w:t>
      </w:r>
      <w:r>
        <w:rPr>
          <w:rFonts w:eastAsia="Times New Roman"/>
          <w:b/>
          <w:bCs/>
          <w:i/>
          <w:iCs/>
          <w:color w:val="000000"/>
          <w:sz w:val="20"/>
          <w:szCs w:val="20"/>
        </w:rPr>
        <w:t>.</w:t>
      </w:r>
    </w:p>
    <w:p w:rsidR="00000000" w:rsidRDefault="007258AD">
      <w:pPr>
        <w:jc w:val="both"/>
        <w:divId w:val="594020588"/>
        <w:rPr>
          <w:rFonts w:eastAsia="Times New Roman"/>
        </w:rPr>
      </w:pPr>
      <w:r>
        <w:rPr>
          <w:rFonts w:eastAsia="Times New Roman"/>
          <w:color w:val="000000"/>
          <w:sz w:val="20"/>
          <w:szCs w:val="20"/>
        </w:rPr>
        <w:t>The COVID-19 pandemic has caused massive disruption</w:t>
      </w:r>
      <w:r>
        <w:rPr>
          <w:rFonts w:eastAsia="Times New Roman"/>
          <w:color w:val="000000"/>
          <w:sz w:val="20"/>
          <w:szCs w:val="20"/>
        </w:rPr>
        <w:t xml:space="preserve"> and uncertainty in domestic and global economies and particularly in the media, advertising and entertainment industries in which we operate. The extent to which the COVID-19 pandemic may ultimately impact our business is uncertain and will depend in larg</w:t>
      </w:r>
      <w:r>
        <w:rPr>
          <w:rFonts w:eastAsia="Times New Roman"/>
          <w:color w:val="000000"/>
          <w:sz w:val="20"/>
          <w:szCs w:val="20"/>
        </w:rPr>
        <w:t xml:space="preserve">e part on our customers, many of whom have been significantly affected by measures taken to mitigate the spread of the virus. To date, the COVID-19 pandemic and related measures have had some impact on our business, including with respect to the timing of </w:t>
      </w:r>
      <w:r>
        <w:rPr>
          <w:rFonts w:eastAsia="Times New Roman"/>
          <w:color w:val="000000"/>
          <w:sz w:val="20"/>
          <w:szCs w:val="20"/>
        </w:rPr>
        <w:t>executing new or renewal contracts, the impact of closed movie theaters on our customers, customer payment delays and requests to modify contractual payment terms, particularly in our Movies Reporting and Analytics business. These conditions have negativel</w:t>
      </w:r>
      <w:r>
        <w:rPr>
          <w:rFonts w:eastAsia="Times New Roman"/>
          <w:color w:val="000000"/>
          <w:sz w:val="20"/>
          <w:szCs w:val="20"/>
        </w:rPr>
        <w:t>y impacted our operating cash flows and financial position. If the U.S. and global economies do not recover in the near term, or if recovery is delayed or limited in certain sectors due to longer term changes in consumer behavior, our customers may continu</w:t>
      </w:r>
      <w:r>
        <w:rPr>
          <w:rFonts w:eastAsia="Times New Roman"/>
          <w:color w:val="000000"/>
          <w:sz w:val="20"/>
          <w:szCs w:val="20"/>
        </w:rPr>
        <w:t>e to delay their payments to us, may defer or reduce their purchases from us, or may experience bankruptcy events, any of which could have a material adverse effect on our business and financial performance. Due to our largely subscription-based business m</w:t>
      </w:r>
      <w:r>
        <w:rPr>
          <w:rFonts w:eastAsia="Times New Roman"/>
          <w:color w:val="000000"/>
          <w:sz w:val="20"/>
          <w:szCs w:val="20"/>
        </w:rPr>
        <w:t>odel, the effects of COVID-19 may not be fully reflected in our results of operations until future periods</w:t>
      </w:r>
      <w:r>
        <w:rPr>
          <w:rFonts w:eastAsia="Times New Roman"/>
          <w:color w:val="000000"/>
          <w:sz w:val="20"/>
          <w:szCs w:val="20"/>
        </w:rPr>
        <w:t>.</w:t>
      </w:r>
    </w:p>
    <w:p w:rsidR="00000000" w:rsidRDefault="007258AD">
      <w:pPr>
        <w:jc w:val="both"/>
        <w:divId w:val="1597012923"/>
        <w:rPr>
          <w:rFonts w:eastAsia="Times New Roman"/>
        </w:rPr>
      </w:pPr>
      <w:r>
        <w:rPr>
          <w:rFonts w:eastAsia="Times New Roman"/>
          <w:color w:val="000000"/>
          <w:sz w:val="20"/>
          <w:szCs w:val="20"/>
        </w:rPr>
        <w:t>Given the nature and significance of these events, we are unable to enumerate all potential risks to our business from the COVID-19 pandemic. Howeve</w:t>
      </w:r>
      <w:r>
        <w:rPr>
          <w:rFonts w:eastAsia="Times New Roman"/>
          <w:color w:val="000000"/>
          <w:sz w:val="20"/>
          <w:szCs w:val="20"/>
        </w:rPr>
        <w:t>r, we believe that in addition to the impacts described above, other current and potential impacts include, but are not limited to</w:t>
      </w:r>
      <w:r>
        <w:rPr>
          <w:rFonts w:eastAsia="Times New Roman"/>
          <w:color w:val="000000"/>
          <w:sz w:val="20"/>
          <w:szCs w:val="20"/>
        </w:rPr>
        <w:t>:</w:t>
      </w:r>
    </w:p>
    <w:p w:rsidR="00000000" w:rsidRDefault="007258AD">
      <w:pPr>
        <w:ind w:hanging="540"/>
        <w:jc w:val="both"/>
        <w:divId w:val="1376927425"/>
        <w:rPr>
          <w:rFonts w:eastAsia="Times New Roman"/>
        </w:rPr>
      </w:pPr>
      <w:r>
        <w:rPr>
          <w:rFonts w:eastAsia="Times New Roman"/>
          <w:color w:val="000000"/>
          <w:sz w:val="20"/>
          <w:szCs w:val="20"/>
        </w:rPr>
        <w:t>•</w:t>
      </w:r>
      <w:r>
        <w:rPr>
          <w:rFonts w:eastAsia="Times New Roman"/>
          <w:color w:val="000000"/>
          <w:sz w:val="20"/>
          <w:szCs w:val="20"/>
        </w:rPr>
        <w:t xml:space="preserve">notices from customers and vendors arguing that any non-performance under our contracts with them is permitted as a result </w:t>
      </w:r>
      <w:r>
        <w:rPr>
          <w:rFonts w:eastAsia="Times New Roman"/>
          <w:color w:val="000000"/>
          <w:sz w:val="20"/>
          <w:szCs w:val="20"/>
        </w:rPr>
        <w:t>of force majeure or other reasons</w:t>
      </w:r>
      <w:r>
        <w:rPr>
          <w:rFonts w:eastAsia="Times New Roman"/>
          <w:color w:val="000000"/>
          <w:sz w:val="20"/>
          <w:szCs w:val="20"/>
        </w:rPr>
        <w:t>;</w:t>
      </w:r>
    </w:p>
    <w:p w:rsidR="00000000" w:rsidRDefault="007258AD">
      <w:pPr>
        <w:ind w:hanging="540"/>
        <w:jc w:val="both"/>
        <w:divId w:val="490874647"/>
        <w:rPr>
          <w:rFonts w:eastAsia="Times New Roman"/>
        </w:rPr>
      </w:pPr>
      <w:r>
        <w:rPr>
          <w:rFonts w:eastAsia="Times New Roman"/>
          <w:color w:val="000000"/>
          <w:sz w:val="20"/>
          <w:szCs w:val="20"/>
        </w:rPr>
        <w:t>•</w:t>
      </w:r>
      <w:r>
        <w:rPr>
          <w:rFonts w:eastAsia="Times New Roman"/>
          <w:color w:val="000000"/>
          <w:sz w:val="20"/>
          <w:szCs w:val="20"/>
        </w:rPr>
        <w:t>delays in meeting our payment obligations to vendors or others, which could result in the loss of goods and services necessary to operate our business</w:t>
      </w:r>
      <w:r>
        <w:rPr>
          <w:rFonts w:eastAsia="Times New Roman"/>
          <w:color w:val="000000"/>
          <w:sz w:val="20"/>
          <w:szCs w:val="20"/>
        </w:rPr>
        <w:t>;</w:t>
      </w:r>
    </w:p>
    <w:p w:rsidR="00000000" w:rsidRDefault="007258AD">
      <w:pPr>
        <w:ind w:hanging="540"/>
        <w:jc w:val="both"/>
        <w:divId w:val="617878984"/>
        <w:rPr>
          <w:rFonts w:eastAsia="Times New Roman"/>
        </w:rPr>
      </w:pPr>
      <w:r>
        <w:rPr>
          <w:rFonts w:eastAsia="Times New Roman"/>
          <w:color w:val="000000"/>
          <w:sz w:val="20"/>
          <w:szCs w:val="20"/>
        </w:rPr>
        <w:t>•</w:t>
      </w:r>
      <w:r>
        <w:rPr>
          <w:rFonts w:eastAsia="Times New Roman"/>
          <w:color w:val="000000"/>
          <w:sz w:val="20"/>
          <w:szCs w:val="20"/>
        </w:rPr>
        <w:t>inefficiencies, increased security risks and privacy concerns surro</w:t>
      </w:r>
      <w:r>
        <w:rPr>
          <w:rFonts w:eastAsia="Times New Roman"/>
          <w:color w:val="000000"/>
          <w:sz w:val="20"/>
          <w:szCs w:val="20"/>
        </w:rPr>
        <w:t>unding remote working arrangements, under which most of our employees are currently operating</w:t>
      </w:r>
      <w:r>
        <w:rPr>
          <w:rFonts w:eastAsia="Times New Roman"/>
          <w:color w:val="000000"/>
          <w:sz w:val="20"/>
          <w:szCs w:val="20"/>
        </w:rPr>
        <w:t>;</w:t>
      </w:r>
    </w:p>
    <w:p w:rsidR="00000000" w:rsidRDefault="007258AD">
      <w:pPr>
        <w:ind w:hanging="540"/>
        <w:jc w:val="both"/>
        <w:divId w:val="826018413"/>
        <w:rPr>
          <w:rFonts w:eastAsia="Times New Roman"/>
        </w:rPr>
      </w:pPr>
      <w:r>
        <w:rPr>
          <w:rFonts w:eastAsia="Times New Roman"/>
          <w:color w:val="000000"/>
          <w:sz w:val="20"/>
          <w:szCs w:val="20"/>
        </w:rPr>
        <w:t>•</w:t>
      </w:r>
      <w:r>
        <w:rPr>
          <w:rFonts w:eastAsia="Times New Roman"/>
          <w:color w:val="000000"/>
          <w:sz w:val="20"/>
          <w:szCs w:val="20"/>
        </w:rPr>
        <w:t>diversion of management time and resources related to business continuity planning</w:t>
      </w:r>
      <w:r>
        <w:rPr>
          <w:rFonts w:eastAsia="Times New Roman"/>
          <w:color w:val="000000"/>
          <w:sz w:val="20"/>
          <w:szCs w:val="20"/>
        </w:rPr>
        <w:t>;</w:t>
      </w:r>
    </w:p>
    <w:p w:rsidR="00000000" w:rsidRDefault="007258AD">
      <w:pPr>
        <w:ind w:hanging="540"/>
        <w:jc w:val="both"/>
        <w:divId w:val="1978953030"/>
        <w:rPr>
          <w:rFonts w:eastAsia="Times New Roman"/>
        </w:rPr>
      </w:pPr>
      <w:r>
        <w:rPr>
          <w:rFonts w:eastAsia="Times New Roman"/>
          <w:color w:val="000000"/>
          <w:sz w:val="20"/>
          <w:szCs w:val="20"/>
        </w:rPr>
        <w:t>•</w:t>
      </w:r>
      <w:r>
        <w:rPr>
          <w:rFonts w:eastAsia="Times New Roman"/>
          <w:color w:val="000000"/>
          <w:sz w:val="20"/>
          <w:szCs w:val="20"/>
        </w:rPr>
        <w:t>disruptions from operational changes we have undertaken or may undertake to</w:t>
      </w:r>
      <w:r>
        <w:rPr>
          <w:rFonts w:eastAsia="Times New Roman"/>
          <w:color w:val="000000"/>
          <w:sz w:val="20"/>
          <w:szCs w:val="20"/>
        </w:rPr>
        <w:t xml:space="preserve"> manage liquidity risk, including lease and contract terminations, workforce reductions, furloughs and other cost-reduction initiatives</w:t>
      </w:r>
      <w:r>
        <w:rPr>
          <w:rFonts w:eastAsia="Times New Roman"/>
          <w:color w:val="000000"/>
          <w:sz w:val="20"/>
          <w:szCs w:val="20"/>
        </w:rPr>
        <w:t>;</w:t>
      </w:r>
    </w:p>
    <w:p w:rsidR="00000000" w:rsidRDefault="007258AD">
      <w:pPr>
        <w:ind w:hanging="540"/>
        <w:jc w:val="both"/>
        <w:divId w:val="1147934328"/>
        <w:rPr>
          <w:rFonts w:eastAsia="Times New Roman"/>
        </w:rPr>
      </w:pPr>
      <w:r>
        <w:rPr>
          <w:rFonts w:eastAsia="Times New Roman"/>
          <w:color w:val="000000"/>
          <w:sz w:val="20"/>
          <w:szCs w:val="20"/>
        </w:rPr>
        <w:t>•</w:t>
      </w:r>
      <w:r>
        <w:rPr>
          <w:rFonts w:eastAsia="Times New Roman"/>
          <w:color w:val="000000"/>
          <w:sz w:val="20"/>
          <w:szCs w:val="20"/>
        </w:rPr>
        <w:t>challenges in complying with our existing debt obligations, including quarterly interest payments and covenants requir</w:t>
      </w:r>
      <w:r>
        <w:rPr>
          <w:rFonts w:eastAsia="Times New Roman"/>
          <w:color w:val="000000"/>
          <w:sz w:val="20"/>
          <w:szCs w:val="20"/>
        </w:rPr>
        <w:t>ing the maintenance of certain minimum cash balances</w:t>
      </w:r>
      <w:r>
        <w:rPr>
          <w:rFonts w:eastAsia="Times New Roman"/>
          <w:color w:val="000000"/>
          <w:sz w:val="20"/>
          <w:szCs w:val="20"/>
        </w:rPr>
        <w:t>;</w:t>
      </w:r>
    </w:p>
    <w:p w:rsidR="00000000" w:rsidRDefault="007258AD">
      <w:pPr>
        <w:ind w:hanging="540"/>
        <w:jc w:val="both"/>
        <w:divId w:val="2122993964"/>
        <w:rPr>
          <w:rFonts w:eastAsia="Times New Roman"/>
        </w:rPr>
      </w:pPr>
      <w:r>
        <w:rPr>
          <w:rFonts w:eastAsia="Times New Roman"/>
          <w:color w:val="000000"/>
          <w:sz w:val="20"/>
          <w:szCs w:val="20"/>
        </w:rPr>
        <w:t>•</w:t>
      </w:r>
      <w:r>
        <w:rPr>
          <w:rFonts w:eastAsia="Times New Roman"/>
          <w:color w:val="000000"/>
          <w:sz w:val="20"/>
          <w:szCs w:val="20"/>
        </w:rPr>
        <w:t>unfavorable capital and credit market conditions, which could impact our ability to obtain future financing or refinance our existing debt</w:t>
      </w:r>
      <w:r>
        <w:rPr>
          <w:rFonts w:eastAsia="Times New Roman"/>
          <w:color w:val="000000"/>
          <w:sz w:val="20"/>
          <w:szCs w:val="20"/>
        </w:rPr>
        <w:t>;</w:t>
      </w:r>
    </w:p>
    <w:p w:rsidR="00000000" w:rsidRDefault="007258AD">
      <w:pPr>
        <w:ind w:hanging="540"/>
        <w:jc w:val="both"/>
        <w:divId w:val="811873036"/>
        <w:rPr>
          <w:rFonts w:eastAsia="Times New Roman"/>
        </w:rPr>
      </w:pPr>
      <w:r>
        <w:rPr>
          <w:rFonts w:eastAsia="Times New Roman"/>
          <w:color w:val="000000"/>
          <w:sz w:val="20"/>
          <w:szCs w:val="20"/>
        </w:rPr>
        <w:t>•</w:t>
      </w:r>
      <w:r>
        <w:rPr>
          <w:rFonts w:eastAsia="Times New Roman"/>
          <w:color w:val="000000"/>
          <w:sz w:val="20"/>
          <w:szCs w:val="20"/>
        </w:rPr>
        <w:t>heightened sensitivity from government regulators, particula</w:t>
      </w:r>
      <w:r>
        <w:rPr>
          <w:rFonts w:eastAsia="Times New Roman"/>
          <w:color w:val="000000"/>
          <w:sz w:val="20"/>
          <w:szCs w:val="20"/>
        </w:rPr>
        <w:t>rly with respect to privacy compliance and cybersecurity in the current environment</w:t>
      </w:r>
      <w:r>
        <w:rPr>
          <w:rFonts w:eastAsia="Times New Roman"/>
          <w:color w:val="000000"/>
          <w:sz w:val="20"/>
          <w:szCs w:val="20"/>
        </w:rPr>
        <w:t>;</w:t>
      </w:r>
    </w:p>
    <w:p w:rsidR="00000000" w:rsidRDefault="007258AD">
      <w:pPr>
        <w:ind w:hanging="540"/>
        <w:jc w:val="both"/>
        <w:divId w:val="1791705675"/>
        <w:rPr>
          <w:rFonts w:eastAsia="Times New Roman"/>
        </w:rPr>
      </w:pPr>
      <w:r>
        <w:rPr>
          <w:rFonts w:eastAsia="Times New Roman"/>
          <w:color w:val="000000"/>
          <w:sz w:val="20"/>
          <w:szCs w:val="20"/>
        </w:rPr>
        <w:t>•</w:t>
      </w:r>
      <w:r>
        <w:rPr>
          <w:rFonts w:eastAsia="Times New Roman"/>
          <w:color w:val="000000"/>
          <w:sz w:val="20"/>
          <w:szCs w:val="20"/>
        </w:rPr>
        <w:t>further impairment of lease-related assets, goodwill or other intangible assets; an</w:t>
      </w:r>
      <w:r>
        <w:rPr>
          <w:rFonts w:eastAsia="Times New Roman"/>
          <w:color w:val="000000"/>
          <w:sz w:val="20"/>
          <w:szCs w:val="20"/>
        </w:rPr>
        <w:t>d</w:t>
      </w:r>
    </w:p>
    <w:p w:rsidR="00000000" w:rsidRDefault="007258AD">
      <w:pPr>
        <w:jc w:val="center"/>
        <w:divId w:val="1411387466"/>
        <w:rPr>
          <w:rFonts w:eastAsia="Times New Roman"/>
        </w:rPr>
      </w:pPr>
      <w:r>
        <w:rPr>
          <w:rFonts w:eastAsia="Times New Roman"/>
          <w:color w:val="000000"/>
          <w:sz w:val="20"/>
          <w:szCs w:val="20"/>
        </w:rPr>
        <w:t>3</w:t>
      </w:r>
      <w:r>
        <w:rPr>
          <w:rFonts w:eastAsia="Times New Roman"/>
          <w:color w:val="000000"/>
          <w:sz w:val="20"/>
          <w:szCs w:val="20"/>
        </w:rPr>
        <w:t>7</w:t>
      </w:r>
    </w:p>
    <w:p w:rsidR="00000000" w:rsidRDefault="007258AD">
      <w:pPr>
        <w:rPr>
          <w:rFonts w:eastAsia="Times New Roman"/>
        </w:rPr>
      </w:pPr>
      <w:r>
        <w:rPr>
          <w:rFonts w:eastAsia="Times New Roman"/>
        </w:rPr>
        <w:pict>
          <v:rect id="_x0000_i1064" style="width:0;height:1.5pt" o:hralign="center" o:hrstd="t" o:hr="t" fillcolor="#a0a0a0" stroked="f"/>
        </w:pict>
      </w:r>
    </w:p>
    <w:p w:rsidR="00000000" w:rsidRDefault="007258AD">
      <w:pPr>
        <w:jc w:val="both"/>
        <w:divId w:val="639193041"/>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639193041"/>
        <w:rPr>
          <w:rFonts w:eastAsia="Times New Roman"/>
        </w:rPr>
      </w:pPr>
    </w:p>
    <w:p w:rsidR="00000000" w:rsidRDefault="007258AD">
      <w:pPr>
        <w:ind w:hanging="540"/>
        <w:jc w:val="both"/>
        <w:divId w:val="460079566"/>
        <w:rPr>
          <w:rFonts w:eastAsia="Times New Roman"/>
        </w:rPr>
      </w:pPr>
      <w:r>
        <w:rPr>
          <w:rFonts w:eastAsia="Times New Roman"/>
          <w:color w:val="000000"/>
          <w:sz w:val="20"/>
          <w:szCs w:val="20"/>
        </w:rPr>
        <w:t>•</w:t>
      </w:r>
      <w:r>
        <w:rPr>
          <w:rFonts w:eastAsia="Times New Roman"/>
          <w:color w:val="000000"/>
          <w:sz w:val="20"/>
          <w:szCs w:val="20"/>
        </w:rPr>
        <w:t>litigation risk and possible loss contingencies related to COVID-19 and its impact, including with respect to our debt facilities, leases, co</w:t>
      </w:r>
      <w:r>
        <w:rPr>
          <w:rFonts w:eastAsia="Times New Roman"/>
          <w:color w:val="000000"/>
          <w:sz w:val="20"/>
          <w:szCs w:val="20"/>
        </w:rPr>
        <w:t>mmercial contracts, employee matters and insurance arrangements</w:t>
      </w:r>
      <w:r>
        <w:rPr>
          <w:rFonts w:eastAsia="Times New Roman"/>
          <w:color w:val="000000"/>
          <w:sz w:val="20"/>
          <w:szCs w:val="20"/>
        </w:rPr>
        <w:t>.</w:t>
      </w:r>
    </w:p>
    <w:p w:rsidR="00000000" w:rsidRDefault="007258AD">
      <w:pPr>
        <w:jc w:val="both"/>
        <w:divId w:val="416370982"/>
        <w:rPr>
          <w:rFonts w:eastAsia="Times New Roman"/>
        </w:rPr>
      </w:pPr>
      <w:r>
        <w:rPr>
          <w:rFonts w:eastAsia="Times New Roman"/>
          <w:color w:val="000000"/>
          <w:sz w:val="20"/>
          <w:szCs w:val="20"/>
        </w:rPr>
        <w:t>We cannot predict the duration or magnitude of the COVID-19 pandemic or its effects on our business or financial performance at this time; nor can we guarantee that any measures we take to mi</w:t>
      </w:r>
      <w:r>
        <w:rPr>
          <w:rFonts w:eastAsia="Times New Roman"/>
          <w:color w:val="000000"/>
          <w:sz w:val="20"/>
          <w:szCs w:val="20"/>
        </w:rPr>
        <w:t>tigate the impact will be successful. To the extent COVID-19 continues to adversely affect our business, financial condition, results of operation or cash flows, it may also have the effect of heightening many of the other risks described in the "Risk Fact</w:t>
      </w:r>
      <w:r>
        <w:rPr>
          <w:rFonts w:eastAsia="Times New Roman"/>
          <w:color w:val="000000"/>
          <w:sz w:val="20"/>
          <w:szCs w:val="20"/>
        </w:rPr>
        <w:t>ors" section of our 2019 10-K</w:t>
      </w:r>
      <w:r>
        <w:rPr>
          <w:rFonts w:eastAsia="Times New Roman"/>
          <w:color w:val="000000"/>
          <w:sz w:val="20"/>
          <w:szCs w:val="20"/>
        </w:rPr>
        <w:t>.</w:t>
      </w:r>
    </w:p>
    <w:p w:rsidR="00000000" w:rsidRDefault="007258AD">
      <w:pPr>
        <w:jc w:val="both"/>
        <w:divId w:val="1281959655"/>
        <w:rPr>
          <w:rFonts w:eastAsia="Times New Roman"/>
        </w:rPr>
      </w:pPr>
      <w:r>
        <w:rPr>
          <w:rFonts w:eastAsia="Times New Roman"/>
          <w:b/>
          <w:bCs/>
          <w:i/>
          <w:iCs/>
          <w:color w:val="000000"/>
          <w:sz w:val="20"/>
          <w:szCs w:val="20"/>
        </w:rPr>
        <w:t>The COVID-19 pandemic and related economic repercussions have impacted our cash flows, which could impact our ability to comply with the restrictive covenants in the agreements governing our debt</w:t>
      </w:r>
      <w:r>
        <w:rPr>
          <w:rFonts w:eastAsia="Times New Roman"/>
          <w:b/>
          <w:bCs/>
          <w:i/>
          <w:iCs/>
          <w:color w:val="000000"/>
          <w:sz w:val="20"/>
          <w:szCs w:val="20"/>
        </w:rPr>
        <w:t>.</w:t>
      </w:r>
    </w:p>
    <w:p w:rsidR="00000000" w:rsidRDefault="007258AD">
      <w:pPr>
        <w:jc w:val="both"/>
        <w:divId w:val="154761621"/>
        <w:rPr>
          <w:rFonts w:eastAsia="Times New Roman"/>
        </w:rPr>
      </w:pPr>
      <w:r>
        <w:rPr>
          <w:rFonts w:eastAsia="Times New Roman"/>
          <w:color w:val="000000"/>
          <w:sz w:val="20"/>
          <w:szCs w:val="20"/>
        </w:rPr>
        <w:t>The agreements governing our</w:t>
      </w:r>
      <w:r>
        <w:rPr>
          <w:rFonts w:eastAsia="Times New Roman"/>
          <w:color w:val="000000"/>
          <w:sz w:val="20"/>
          <w:szCs w:val="20"/>
        </w:rPr>
        <w:t xml:space="preserve"> debt contain affirmative and negative covenants that limit our ability to take certain actions. Our Notes also require us to maintain a $40.0 million minimum cash balance, which we calculate based on our total cash, cash equivalents and restricted cash. F</w:t>
      </w:r>
      <w:r>
        <w:rPr>
          <w:rFonts w:eastAsia="Times New Roman"/>
          <w:color w:val="000000"/>
          <w:sz w:val="20"/>
          <w:szCs w:val="20"/>
        </w:rPr>
        <w:t>ailure to meet our obligations under the Notes could lead to an Event of Default (as defined in the Notes), which could have important consequences including, potentially, forcing us into bankruptcy or liquidation</w:t>
      </w:r>
      <w:r>
        <w:rPr>
          <w:rFonts w:eastAsia="Times New Roman"/>
          <w:color w:val="000000"/>
          <w:sz w:val="20"/>
          <w:szCs w:val="20"/>
        </w:rPr>
        <w:t>.</w:t>
      </w:r>
    </w:p>
    <w:p w:rsidR="00000000" w:rsidRDefault="007258AD">
      <w:pPr>
        <w:jc w:val="both"/>
        <w:divId w:val="1710716503"/>
        <w:rPr>
          <w:rFonts w:eastAsia="Times New Roman"/>
        </w:rPr>
      </w:pPr>
      <w:r>
        <w:rPr>
          <w:rFonts w:eastAsia="Times New Roman"/>
          <w:color w:val="000000"/>
          <w:sz w:val="20"/>
          <w:szCs w:val="20"/>
        </w:rPr>
        <w:t>The COVID-19 pandemic is impacting the timing and terms of new and renewal contracts and is creating customer payment delays and requests to modify contractual payment terms, particularly in our Movies Reporting and Analytics business. These conditions hav</w:t>
      </w:r>
      <w:r>
        <w:rPr>
          <w:rFonts w:eastAsia="Times New Roman"/>
          <w:color w:val="000000"/>
          <w:sz w:val="20"/>
          <w:szCs w:val="20"/>
        </w:rPr>
        <w:t>e negatively impacted our liquidity and cash flows and could have a more significant impact in future periods. As of June 30, 2020, we had cash, cash equivalents and restricted cash totaling $55.5 million, including $19.6 million in restricted cash, and we</w:t>
      </w:r>
      <w:r>
        <w:rPr>
          <w:rFonts w:eastAsia="Times New Roman"/>
          <w:color w:val="000000"/>
          <w:sz w:val="20"/>
          <w:szCs w:val="20"/>
        </w:rPr>
        <w:t xml:space="preserve"> were in compliance with the covenants under the Notes and the Secured Term Note; however, in the second quarter of 2020, the holders of the Notes questioned our compliance with the minimum cash balance requirements therein. If the U.S. and global economie</w:t>
      </w:r>
      <w:r>
        <w:rPr>
          <w:rFonts w:eastAsia="Times New Roman"/>
          <w:color w:val="000000"/>
          <w:sz w:val="20"/>
          <w:szCs w:val="20"/>
        </w:rPr>
        <w:t xml:space="preserve">s do not recover in the near term, or if recovery is delayed or limited in certain sectors due to longer term changes in consumer behavior, our cash flows could be further impacted, which could impact our ability to satisfy the covenants in the agreements </w:t>
      </w:r>
      <w:r>
        <w:rPr>
          <w:rFonts w:eastAsia="Times New Roman"/>
          <w:color w:val="000000"/>
          <w:sz w:val="20"/>
          <w:szCs w:val="20"/>
        </w:rPr>
        <w:t>governing our debt, including the minimum cash balance requirement in the Notes</w:t>
      </w:r>
      <w:r>
        <w:rPr>
          <w:rFonts w:eastAsia="Times New Roman"/>
          <w:color w:val="000000"/>
          <w:sz w:val="20"/>
          <w:szCs w:val="20"/>
        </w:rPr>
        <w:t>.</w:t>
      </w:r>
    </w:p>
    <w:tbl>
      <w:tblPr>
        <w:tblW w:w="4743" w:type="pct"/>
        <w:tblCellMar>
          <w:top w:w="15" w:type="dxa"/>
          <w:left w:w="15" w:type="dxa"/>
          <w:bottom w:w="15" w:type="dxa"/>
          <w:right w:w="15" w:type="dxa"/>
        </w:tblCellMar>
        <w:tblLook w:val="04A0" w:firstRow="1" w:lastRow="0" w:firstColumn="1" w:lastColumn="0" w:noHBand="0" w:noVBand="1"/>
      </w:tblPr>
      <w:tblGrid>
        <w:gridCol w:w="78"/>
        <w:gridCol w:w="708"/>
        <w:gridCol w:w="79"/>
        <w:gridCol w:w="79"/>
        <w:gridCol w:w="6856"/>
        <w:gridCol w:w="79"/>
      </w:tblGrid>
      <w:tr w:rsidR="00000000">
        <w:trPr>
          <w:divId w:val="164054379"/>
        </w:trPr>
        <w:tc>
          <w:tcPr>
            <w:tcW w:w="50" w:type="pct"/>
            <w:vAlign w:val="center"/>
            <w:hideMark/>
          </w:tcPr>
          <w:p w:rsidR="00000000" w:rsidRDefault="007258AD">
            <w:pPr>
              <w:jc w:val="both"/>
              <w:rPr>
                <w:rFonts w:eastAsia="Times New Roman"/>
              </w:rPr>
            </w:pPr>
          </w:p>
        </w:tc>
        <w:tc>
          <w:tcPr>
            <w:tcW w:w="44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5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64054379"/>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2</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UNREGISTERED SALES OF EQUITY SECURITIES AND USE OF PROCEED</w:t>
            </w:r>
            <w:r>
              <w:rPr>
                <w:rFonts w:eastAsia="Times New Roman"/>
                <w:b/>
                <w:bCs/>
                <w:i/>
                <w:iCs/>
                <w:color w:val="000000"/>
                <w:sz w:val="20"/>
                <w:szCs w:val="20"/>
              </w:rPr>
              <w:t>S</w:t>
            </w:r>
          </w:p>
        </w:tc>
      </w:tr>
    </w:tbl>
    <w:p w:rsidR="00000000" w:rsidRDefault="007258AD">
      <w:pPr>
        <w:jc w:val="both"/>
        <w:divId w:val="1012218800"/>
        <w:rPr>
          <w:rFonts w:eastAsia="Times New Roman"/>
        </w:rPr>
      </w:pPr>
      <w:r>
        <w:rPr>
          <w:rFonts w:eastAsia="Times New Roman"/>
          <w:b/>
          <w:bCs/>
          <w:color w:val="000000"/>
          <w:sz w:val="20"/>
          <w:szCs w:val="20"/>
        </w:rPr>
        <w:t>(a</w:t>
      </w:r>
      <w:r>
        <w:rPr>
          <w:rFonts w:eastAsia="Times New Roman"/>
          <w:b/>
          <w:bCs/>
          <w:color w:val="000000"/>
          <w:sz w:val="20"/>
          <w:szCs w:val="20"/>
        </w:rPr>
        <w:t>)</w:t>
      </w:r>
      <w:r>
        <w:rPr>
          <w:rFonts w:eastAsia="Times New Roman"/>
          <w:color w:val="000000"/>
          <w:sz w:val="20"/>
          <w:szCs w:val="20"/>
        </w:rPr>
        <w:t xml:space="preserve"> </w:t>
      </w:r>
      <w:r>
        <w:rPr>
          <w:rFonts w:eastAsia="Times New Roman"/>
          <w:b/>
          <w:bCs/>
          <w:i/>
          <w:iCs/>
          <w:color w:val="000000"/>
          <w:sz w:val="20"/>
          <w:szCs w:val="20"/>
        </w:rPr>
        <w:t>Unregistered Sales of Equity Securities during the Three Months Ended June 30, 202</w:t>
      </w:r>
      <w:r>
        <w:rPr>
          <w:rFonts w:eastAsia="Times New Roman"/>
          <w:b/>
          <w:bCs/>
          <w:i/>
          <w:iCs/>
          <w:color w:val="000000"/>
          <w:sz w:val="20"/>
          <w:szCs w:val="20"/>
        </w:rPr>
        <w:t>0</w:t>
      </w:r>
    </w:p>
    <w:p w:rsidR="00000000" w:rsidRDefault="007258AD">
      <w:pPr>
        <w:ind w:firstLine="450"/>
        <w:jc w:val="both"/>
        <w:divId w:val="1669289149"/>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258AD">
      <w:pPr>
        <w:jc w:val="both"/>
        <w:divId w:val="1800109465"/>
        <w:rPr>
          <w:rFonts w:eastAsia="Times New Roman"/>
        </w:rPr>
      </w:pPr>
      <w:r>
        <w:rPr>
          <w:rFonts w:eastAsia="Times New Roman"/>
          <w:b/>
          <w:bCs/>
          <w:color w:val="000000"/>
          <w:sz w:val="20"/>
          <w:szCs w:val="20"/>
        </w:rPr>
        <w:t>(b</w:t>
      </w:r>
      <w:r>
        <w:rPr>
          <w:rFonts w:eastAsia="Times New Roman"/>
          <w:b/>
          <w:bCs/>
          <w:color w:val="000000"/>
          <w:sz w:val="20"/>
          <w:szCs w:val="20"/>
        </w:rPr>
        <w:t>)</w:t>
      </w:r>
      <w:r>
        <w:rPr>
          <w:rFonts w:eastAsia="Times New Roman"/>
          <w:color w:val="000000"/>
          <w:sz w:val="20"/>
          <w:szCs w:val="20"/>
        </w:rPr>
        <w:t xml:space="preserve"> </w:t>
      </w:r>
      <w:r>
        <w:rPr>
          <w:rFonts w:eastAsia="Times New Roman"/>
          <w:b/>
          <w:bCs/>
          <w:i/>
          <w:iCs/>
          <w:color w:val="000000"/>
          <w:sz w:val="20"/>
          <w:szCs w:val="20"/>
        </w:rPr>
        <w:t>Use of Proceeds from Sale of Registered Equity Securitie</w:t>
      </w:r>
      <w:r>
        <w:rPr>
          <w:rFonts w:eastAsia="Times New Roman"/>
          <w:b/>
          <w:bCs/>
          <w:i/>
          <w:iCs/>
          <w:color w:val="000000"/>
          <w:sz w:val="20"/>
          <w:szCs w:val="20"/>
        </w:rPr>
        <w:t>s</w:t>
      </w:r>
    </w:p>
    <w:p w:rsidR="00000000" w:rsidRDefault="007258AD">
      <w:pPr>
        <w:ind w:firstLine="495"/>
        <w:jc w:val="both"/>
        <w:divId w:val="2073917805"/>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258AD">
      <w:pPr>
        <w:jc w:val="both"/>
        <w:divId w:val="1949969826"/>
        <w:rPr>
          <w:rFonts w:eastAsia="Times New Roman"/>
        </w:rPr>
      </w:pPr>
      <w:r>
        <w:rPr>
          <w:rFonts w:eastAsia="Times New Roman"/>
          <w:b/>
          <w:bCs/>
          <w:color w:val="000000"/>
          <w:sz w:val="20"/>
          <w:szCs w:val="20"/>
        </w:rPr>
        <w:t>(c</w:t>
      </w:r>
      <w:r>
        <w:rPr>
          <w:rFonts w:eastAsia="Times New Roman"/>
          <w:b/>
          <w:bCs/>
          <w:color w:val="000000"/>
          <w:sz w:val="20"/>
          <w:szCs w:val="20"/>
        </w:rPr>
        <w:t>)</w:t>
      </w:r>
      <w:r>
        <w:rPr>
          <w:rFonts w:eastAsia="Times New Roman"/>
          <w:color w:val="000000"/>
          <w:sz w:val="20"/>
          <w:szCs w:val="20"/>
        </w:rPr>
        <w:t xml:space="preserve"> </w:t>
      </w:r>
      <w:r>
        <w:rPr>
          <w:rFonts w:eastAsia="Times New Roman"/>
          <w:b/>
          <w:bCs/>
          <w:i/>
          <w:iCs/>
          <w:color w:val="000000"/>
          <w:sz w:val="20"/>
          <w:szCs w:val="20"/>
        </w:rPr>
        <w:t>Purchases of Equity Securities by the Issuer and Affiliated Purchaser</w:t>
      </w:r>
      <w:r>
        <w:rPr>
          <w:rFonts w:eastAsia="Times New Roman"/>
          <w:b/>
          <w:bCs/>
          <w:i/>
          <w:iCs/>
          <w:color w:val="000000"/>
          <w:sz w:val="20"/>
          <w:szCs w:val="20"/>
        </w:rPr>
        <w:t>s</w:t>
      </w:r>
    </w:p>
    <w:p w:rsidR="00000000" w:rsidRDefault="007258AD">
      <w:pPr>
        <w:jc w:val="both"/>
        <w:divId w:val="943919090"/>
        <w:rPr>
          <w:rFonts w:eastAsia="Times New Roman"/>
        </w:rPr>
      </w:pPr>
      <w:r>
        <w:rPr>
          <w:rFonts w:eastAsia="Times New Roman"/>
          <w:color w:val="000000"/>
          <w:sz w:val="20"/>
          <w:szCs w:val="20"/>
        </w:rPr>
        <w:t>None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698"/>
        <w:gridCol w:w="83"/>
        <w:gridCol w:w="83"/>
        <w:gridCol w:w="7276"/>
        <w:gridCol w:w="83"/>
      </w:tblGrid>
      <w:tr w:rsidR="00000000">
        <w:trPr>
          <w:divId w:val="1843426860"/>
          <w:jc w:val="center"/>
        </w:trPr>
        <w:tc>
          <w:tcPr>
            <w:tcW w:w="50" w:type="pct"/>
            <w:vAlign w:val="center"/>
            <w:hideMark/>
          </w:tcPr>
          <w:p w:rsidR="00000000" w:rsidRDefault="007258AD">
            <w:pPr>
              <w:jc w:val="both"/>
              <w:rPr>
                <w:rFonts w:eastAsia="Times New Roman"/>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7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843426860"/>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3</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DEFAULTS UPON SENIOR SECURITIE</w:t>
            </w:r>
            <w:r>
              <w:rPr>
                <w:rFonts w:eastAsia="Times New Roman"/>
                <w:b/>
                <w:bCs/>
                <w:i/>
                <w:iCs/>
                <w:color w:val="000000"/>
                <w:sz w:val="20"/>
                <w:szCs w:val="20"/>
              </w:rPr>
              <w:t>S</w:t>
            </w:r>
          </w:p>
        </w:tc>
      </w:tr>
    </w:tbl>
    <w:p w:rsidR="00000000" w:rsidRDefault="007258AD">
      <w:pPr>
        <w:ind w:firstLine="495"/>
        <w:jc w:val="both"/>
        <w:divId w:val="829633906"/>
        <w:rPr>
          <w:rFonts w:eastAsia="Times New Roman"/>
        </w:rPr>
      </w:pPr>
      <w:r>
        <w:rPr>
          <w:rFonts w:eastAsia="Times New Roman"/>
          <w:color w:val="000000"/>
          <w:sz w:val="20"/>
          <w:szCs w:val="20"/>
        </w:rPr>
        <w:t>Not applicable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698"/>
        <w:gridCol w:w="83"/>
        <w:gridCol w:w="83"/>
        <w:gridCol w:w="7276"/>
        <w:gridCol w:w="83"/>
      </w:tblGrid>
      <w:tr w:rsidR="00000000">
        <w:trPr>
          <w:divId w:val="265424565"/>
        </w:trPr>
        <w:tc>
          <w:tcPr>
            <w:tcW w:w="50" w:type="pct"/>
            <w:vAlign w:val="center"/>
            <w:hideMark/>
          </w:tcPr>
          <w:p w:rsidR="00000000" w:rsidRDefault="007258AD">
            <w:pPr>
              <w:ind w:firstLine="495"/>
              <w:jc w:val="both"/>
              <w:rPr>
                <w:rFonts w:eastAsia="Times New Roman"/>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7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265424565"/>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4</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MINE SAFETY DISCLOSURE</w:t>
            </w:r>
            <w:r>
              <w:rPr>
                <w:rFonts w:eastAsia="Times New Roman"/>
                <w:b/>
                <w:bCs/>
                <w:i/>
                <w:iCs/>
                <w:color w:val="000000"/>
                <w:sz w:val="20"/>
                <w:szCs w:val="20"/>
              </w:rPr>
              <w:t>S</w:t>
            </w:r>
          </w:p>
        </w:tc>
      </w:tr>
    </w:tbl>
    <w:p w:rsidR="00000000" w:rsidRDefault="007258AD">
      <w:pPr>
        <w:ind w:firstLine="450"/>
        <w:jc w:val="both"/>
        <w:divId w:val="976758369"/>
        <w:rPr>
          <w:rFonts w:eastAsia="Times New Roman"/>
        </w:rPr>
      </w:pPr>
      <w:r>
        <w:rPr>
          <w:rFonts w:eastAsia="Times New Roman"/>
          <w:color w:val="000000"/>
          <w:sz w:val="20"/>
          <w:szCs w:val="20"/>
        </w:rPr>
        <w:t>Not applicable</w:t>
      </w:r>
      <w:r>
        <w:rPr>
          <w:rFonts w:eastAsia="Times New Roman"/>
          <w:color w:val="000000"/>
          <w:sz w:val="20"/>
          <w:szCs w:val="20"/>
        </w:rPr>
        <w:t>.</w:t>
      </w:r>
    </w:p>
    <w:tbl>
      <w:tblPr>
        <w:tblW w:w="4743" w:type="pct"/>
        <w:tblCellMar>
          <w:top w:w="15" w:type="dxa"/>
          <w:left w:w="15" w:type="dxa"/>
          <w:bottom w:w="15" w:type="dxa"/>
          <w:right w:w="15" w:type="dxa"/>
        </w:tblCellMar>
        <w:tblLook w:val="04A0" w:firstRow="1" w:lastRow="0" w:firstColumn="1" w:lastColumn="0" w:noHBand="0" w:noVBand="1"/>
      </w:tblPr>
      <w:tblGrid>
        <w:gridCol w:w="78"/>
        <w:gridCol w:w="708"/>
        <w:gridCol w:w="79"/>
        <w:gridCol w:w="79"/>
        <w:gridCol w:w="6856"/>
        <w:gridCol w:w="79"/>
      </w:tblGrid>
      <w:tr w:rsidR="00000000">
        <w:trPr>
          <w:divId w:val="1052391764"/>
        </w:trPr>
        <w:tc>
          <w:tcPr>
            <w:tcW w:w="50" w:type="pct"/>
            <w:vAlign w:val="center"/>
            <w:hideMark/>
          </w:tcPr>
          <w:p w:rsidR="00000000" w:rsidRDefault="007258AD">
            <w:pPr>
              <w:ind w:firstLine="450"/>
              <w:jc w:val="both"/>
              <w:rPr>
                <w:rFonts w:eastAsia="Times New Roman"/>
              </w:rPr>
            </w:pPr>
          </w:p>
        </w:tc>
        <w:tc>
          <w:tcPr>
            <w:tcW w:w="44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51"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1052391764"/>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color w:val="000000"/>
                <w:sz w:val="20"/>
                <w:szCs w:val="20"/>
              </w:rPr>
              <w:t>ITEM 5</w:t>
            </w:r>
            <w:r>
              <w:rPr>
                <w:rFonts w:eastAsia="Times New Roman"/>
                <w:b/>
                <w:bCs/>
                <w:color w:val="000000"/>
                <w:sz w:val="20"/>
                <w:szCs w:val="20"/>
              </w:rPr>
              <w:t>.</w:t>
            </w:r>
          </w:p>
        </w:tc>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b/>
                <w:bCs/>
                <w:i/>
                <w:iCs/>
                <w:color w:val="000000"/>
                <w:sz w:val="20"/>
                <w:szCs w:val="20"/>
              </w:rPr>
              <w:t>OTHER INFORMATIO</w:t>
            </w:r>
            <w:r>
              <w:rPr>
                <w:rFonts w:eastAsia="Times New Roman"/>
                <w:b/>
                <w:bCs/>
                <w:i/>
                <w:iCs/>
                <w:color w:val="000000"/>
                <w:sz w:val="20"/>
                <w:szCs w:val="20"/>
              </w:rPr>
              <w:t>N</w:t>
            </w:r>
          </w:p>
        </w:tc>
      </w:tr>
    </w:tbl>
    <w:p w:rsidR="00000000" w:rsidRDefault="007258AD">
      <w:pPr>
        <w:ind w:firstLine="450"/>
        <w:divId w:val="1773739412"/>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7258AD">
      <w:pPr>
        <w:jc w:val="center"/>
        <w:divId w:val="1211458533"/>
        <w:rPr>
          <w:rFonts w:eastAsia="Times New Roman"/>
        </w:rPr>
      </w:pPr>
      <w:r>
        <w:rPr>
          <w:rFonts w:eastAsia="Times New Roman"/>
          <w:color w:val="000000"/>
          <w:sz w:val="20"/>
          <w:szCs w:val="20"/>
        </w:rPr>
        <w:t>3</w:t>
      </w:r>
      <w:r>
        <w:rPr>
          <w:rFonts w:eastAsia="Times New Roman"/>
          <w:color w:val="000000"/>
          <w:sz w:val="20"/>
          <w:szCs w:val="20"/>
        </w:rPr>
        <w:t>8</w:t>
      </w:r>
    </w:p>
    <w:p w:rsidR="00000000" w:rsidRDefault="007258AD">
      <w:pPr>
        <w:rPr>
          <w:rFonts w:eastAsia="Times New Roman"/>
        </w:rPr>
      </w:pPr>
      <w:r>
        <w:rPr>
          <w:rFonts w:eastAsia="Times New Roman"/>
        </w:rPr>
        <w:pict>
          <v:rect id="_x0000_i1065" style="width:0;height:1.5pt" o:hralign="center" o:hrstd="t" o:hr="t" fillcolor="#a0a0a0" stroked="f"/>
        </w:pict>
      </w:r>
    </w:p>
    <w:p w:rsidR="00000000" w:rsidRDefault="007258AD">
      <w:pPr>
        <w:jc w:val="both"/>
        <w:divId w:val="1329872032"/>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132987203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698"/>
        <w:gridCol w:w="83"/>
        <w:gridCol w:w="83"/>
        <w:gridCol w:w="7276"/>
        <w:gridCol w:w="83"/>
      </w:tblGrid>
      <w:tr w:rsidR="00000000">
        <w:trPr>
          <w:divId w:val="503521077"/>
          <w:jc w:val="center"/>
        </w:trPr>
        <w:tc>
          <w:tcPr>
            <w:tcW w:w="50" w:type="pct"/>
            <w:vAlign w:val="center"/>
            <w:hideMark/>
          </w:tcPr>
          <w:p w:rsidR="00000000" w:rsidRDefault="007258AD">
            <w:pPr>
              <w:jc w:val="both"/>
              <w:rPr>
                <w:rFonts w:eastAsia="Times New Roman"/>
              </w:rPr>
            </w:pPr>
          </w:p>
        </w:tc>
        <w:tc>
          <w:tcPr>
            <w:tcW w:w="42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7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503521077"/>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20"/>
                <w:szCs w:val="20"/>
              </w:rPr>
              <w:t>ITEM 6</w:t>
            </w:r>
            <w:r>
              <w:rPr>
                <w:rFonts w:eastAsia="Times New Roman"/>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b/>
                <w:bCs/>
                <w:i/>
                <w:iCs/>
                <w:color w:val="000000"/>
                <w:sz w:val="20"/>
                <w:szCs w:val="20"/>
              </w:rPr>
              <w:t>EXHIBIT</w:t>
            </w:r>
            <w:r>
              <w:rPr>
                <w:rFonts w:eastAsia="Times New Roman"/>
                <w:b/>
                <w:bCs/>
                <w:i/>
                <w:iCs/>
                <w:color w:val="000000"/>
                <w:sz w:val="20"/>
                <w:szCs w:val="20"/>
              </w:rPr>
              <w: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13"/>
        <w:gridCol w:w="144"/>
        <w:gridCol w:w="144"/>
        <w:gridCol w:w="167"/>
        <w:gridCol w:w="144"/>
        <w:gridCol w:w="144"/>
        <w:gridCol w:w="7274"/>
        <w:gridCol w:w="144"/>
      </w:tblGrid>
      <w:tr w:rsidR="00000000">
        <w:trPr>
          <w:jc w:val="center"/>
        </w:trPr>
        <w:tc>
          <w:tcPr>
            <w:tcW w:w="50" w:type="pct"/>
            <w:vAlign w:val="center"/>
            <w:hideMark/>
          </w:tcPr>
          <w:p w:rsidR="00000000" w:rsidRDefault="007258AD">
            <w:pPr>
              <w:jc w:val="center"/>
              <w:rPr>
                <w:rFonts w:eastAsia="Times New Roman"/>
              </w:rPr>
            </w:pPr>
          </w:p>
        </w:tc>
        <w:tc>
          <w:tcPr>
            <w:tcW w:w="30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101" w:type="pct"/>
            <w:vAlign w:val="center"/>
            <w:hideMark/>
          </w:tcPr>
          <w:p w:rsidR="00000000" w:rsidRDefault="007258AD">
            <w:pPr>
              <w:rPr>
                <w:rFonts w:eastAsia="Times New Roman"/>
                <w:sz w:val="20"/>
                <w:szCs w:val="20"/>
              </w:rPr>
            </w:pPr>
          </w:p>
        </w:tc>
        <w:tc>
          <w:tcPr>
            <w:tcW w:w="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437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b/>
                <w:bCs/>
                <w:color w:val="000000"/>
                <w:sz w:val="16"/>
                <w:szCs w:val="16"/>
              </w:rPr>
              <w:t>Exhibit</w:t>
            </w:r>
            <w:r>
              <w:rPr>
                <w:rFonts w:eastAsia="Times New Roman"/>
                <w:b/>
                <w:bCs/>
                <w:color w:val="000000"/>
                <w:sz w:val="16"/>
                <w:szCs w:val="16"/>
              </w:rPr>
              <w:br/>
              <w:t>Documen</w:t>
            </w:r>
            <w:r>
              <w:rPr>
                <w:rFonts w:eastAsia="Times New Roman"/>
                <w:b/>
                <w:bCs/>
                <w:color w:val="000000"/>
                <w:sz w:val="16"/>
                <w:szCs w:val="16"/>
              </w:rPr>
              <w:t>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15" w:history="1">
              <w:r>
                <w:rPr>
                  <w:rStyle w:val="a3"/>
                  <w:rFonts w:eastAsia="Times New Roman"/>
                  <w:sz w:val="20"/>
                  <w:szCs w:val="20"/>
                </w:rPr>
                <w:t>Amended and Restated Certificate of Incorporation of the Registrant (incorporated by reference to Exhibit 3.3 to the Registrant's Registration Statement on</w:t>
              </w:r>
              <w:r>
                <w:rPr>
                  <w:rStyle w:val="a3"/>
                  <w:rFonts w:eastAsia="Times New Roman"/>
                  <w:sz w:val="20"/>
                  <w:szCs w:val="20"/>
                </w:rPr>
                <w:t xml:space="preserve"> Form S-1, as amended, filed June 12, 2007) (File No. 333-141740)</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16" w:history="1">
              <w:r>
                <w:rPr>
                  <w:rStyle w:val="a3"/>
                  <w:rFonts w:eastAsia="Times New Roman"/>
                  <w:sz w:val="20"/>
                  <w:szCs w:val="20"/>
                </w:rPr>
                <w:t>Certificate of Amendment of Amended and Restated Certificate of Incorporation of comScore, Inc. (incorporated by reference to Exhibit 4.2 to th</w:t>
              </w:r>
              <w:r>
                <w:rPr>
                  <w:rStyle w:val="a3"/>
                  <w:rFonts w:eastAsia="Times New Roman"/>
                  <w:sz w:val="20"/>
                  <w:szCs w:val="20"/>
                </w:rPr>
                <w:t>e Registrant's Registration Statement on Form S-8, filed June 4, 2018) (File No. 333-225400)</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17" w:history="1">
              <w:r>
                <w:rPr>
                  <w:rStyle w:val="a3"/>
                  <w:rFonts w:eastAsia="Times New Roman"/>
                  <w:sz w:val="20"/>
                  <w:szCs w:val="20"/>
                </w:rPr>
                <w:t xml:space="preserve">Certificate of Designation of Series A Junior Participating Preferred Stock of comScore, Inc., as filed with the Secretary of State of the State of Delaware </w:t>
              </w:r>
              <w:r>
                <w:rPr>
                  <w:rStyle w:val="a3"/>
                  <w:rFonts w:eastAsia="Times New Roman"/>
                  <w:sz w:val="20"/>
                  <w:szCs w:val="20"/>
                </w:rPr>
                <w:t>on February 9, 2017 (incorporated by reference to Exhibit 3.1 to the Registrant's Current Report on Form 8-K, filed February 9, 2017) (File No. 001-33520)</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18" w:history="1">
              <w:r>
                <w:rPr>
                  <w:rStyle w:val="a3"/>
                  <w:rFonts w:eastAsia="Times New Roman"/>
                  <w:sz w:val="20"/>
                  <w:szCs w:val="20"/>
                </w:rPr>
                <w:t>Certificate of Elimination of Designation of Series A Junior Participating Preferred Stock of comScore, Inc., as filed with the Secretary of State of the Sta</w:t>
              </w:r>
              <w:r>
                <w:rPr>
                  <w:rStyle w:val="a3"/>
                  <w:rFonts w:eastAsia="Times New Roman"/>
                  <w:sz w:val="20"/>
                  <w:szCs w:val="20"/>
                </w:rPr>
                <w:t>te of Delaware on September 29, 2017 (incorporated by reference to Exhibit 3.1 to the Registrant's Current Report on Form 8-K, filed October 4, 2017) (File No. 001-33520)</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19" w:history="1">
              <w:r>
                <w:rPr>
                  <w:rStyle w:val="a3"/>
                  <w:rFonts w:eastAsia="Times New Roman"/>
                  <w:sz w:val="20"/>
                  <w:szCs w:val="20"/>
                </w:rPr>
                <w:t>Amended and Restated Bylaws of comScore, Inc (incorporated by reference to Exhibit 3.2 to the Registrant's Quarterly Report on Form 10-Q for th</w:t>
              </w:r>
              <w:r>
                <w:rPr>
                  <w:rStyle w:val="a3"/>
                  <w:rFonts w:eastAsia="Times New Roman"/>
                  <w:sz w:val="20"/>
                  <w:szCs w:val="20"/>
                </w:rPr>
                <w:t>e period ended June 30, 2018, filed August 10, 2018) (File No. 001-33520)</w:t>
              </w:r>
            </w:hyperlink>
            <w:r>
              <w:rPr>
                <w:rFonts w:eastAsia="Times New Roman"/>
                <w:color w:val="000000"/>
                <w:sz w:val="20"/>
                <w:szCs w:val="20"/>
              </w:rPr>
              <w:t>.</w:t>
            </w:r>
            <w:r>
              <w:rPr>
                <w:rFonts w:eastAsia="Times New Roman"/>
                <w:color w:val="000000"/>
                <w:sz w:val="20"/>
                <w:szCs w:val="20"/>
              </w:rPr>
              <w:t xml:space="preserve"> </w:t>
            </w:r>
          </w:p>
        </w:tc>
      </w:tr>
      <w:tr w:rsidR="00000000">
        <w:trPr>
          <w:jc w:val="center"/>
        </w:trPr>
        <w:tc>
          <w:tcPr>
            <w:tcW w:w="0" w:type="auto"/>
            <w:gridSpan w:val="3"/>
            <w:vAlign w:val="center"/>
            <w:hideMark/>
          </w:tcPr>
          <w:p w:rsidR="00000000" w:rsidRDefault="007258AD">
            <w:pPr>
              <w:jc w:val="both"/>
              <w:rPr>
                <w:rFonts w:eastAsia="Times New Roman"/>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jc w:val="center"/>
        </w:trPr>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0" w:history="1">
              <w:r>
                <w:rPr>
                  <w:rStyle w:val="a3"/>
                  <w:rFonts w:eastAsia="Times New Roman"/>
                  <w:sz w:val="20"/>
                  <w:szCs w:val="20"/>
                </w:rPr>
                <w:t>Form of Senior Secured Convertible Note (Initial Notes), as amended</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1" w:history="1">
              <w:r>
                <w:rPr>
                  <w:rStyle w:val="a3"/>
                  <w:rFonts w:eastAsia="Times New Roman"/>
                  <w:sz w:val="20"/>
                  <w:szCs w:val="20"/>
                </w:rPr>
                <w:t>Form of Senior Secured Convertible Note (Option Notes), as amended</w:t>
              </w:r>
            </w:hyperlink>
            <w:r>
              <w:rPr>
                <w:rFonts w:eastAsia="Times New Roman"/>
                <w:color w:val="000000"/>
                <w:sz w:val="20"/>
                <w:szCs w:val="20"/>
              </w:rPr>
              <w:t xml:space="preserve"> </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2" w:history="1">
              <w:r>
                <w:rPr>
                  <w:rStyle w:val="a3"/>
                  <w:rFonts w:eastAsia="Times New Roman"/>
                  <w:sz w:val="20"/>
                  <w:szCs w:val="20"/>
                </w:rPr>
                <w:t>Separation and Release Agreement, dated as of May 7, 2020, by and between comScore, Inc. and Carol DiBattiste</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3" w:history="1">
              <w:r>
                <w:rPr>
                  <w:rStyle w:val="a3"/>
                  <w:rFonts w:eastAsia="Times New Roman"/>
                  <w:sz w:val="20"/>
                  <w:szCs w:val="20"/>
                </w:rPr>
                <w:t>Form of Compensation Reduction Letter for Executive Officers</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10.3</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4" w:history="1">
              <w:r>
                <w:rPr>
                  <w:rStyle w:val="a3"/>
                  <w:rFonts w:eastAsia="Times New Roman"/>
                  <w:sz w:val="20"/>
                  <w:szCs w:val="20"/>
                </w:rPr>
                <w:t xml:space="preserve">comScore, Inc. 2018 Equity and Incentive Compensation Plan (as Amended and Restated Effective as of July 9, 2020) (incorporated by reference to Exhibit 10.1 </w:t>
              </w:r>
              <w:r>
                <w:rPr>
                  <w:rStyle w:val="a3"/>
                  <w:rFonts w:eastAsia="Times New Roman"/>
                  <w:sz w:val="20"/>
                  <w:szCs w:val="20"/>
                </w:rPr>
                <w:t>to the Registrant's Current Report on Form 8-K, filed July 15, 2020) (File No. 001-33520)</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31.1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5" w:history="1">
              <w:r>
                <w:rPr>
                  <w:rStyle w:val="a3"/>
                  <w:rFonts w:eastAsia="Times New Roman"/>
                  <w:sz w:val="20"/>
                  <w:szCs w:val="20"/>
                </w:rPr>
                <w:t>Certification of Principal Executive Officer pursuant to Rule 13a-14(a) and Rule 15d-14(a) of the S</w:t>
              </w:r>
              <w:r>
                <w:rPr>
                  <w:rStyle w:val="a3"/>
                  <w:rFonts w:eastAsia="Times New Roman"/>
                  <w:sz w:val="20"/>
                  <w:szCs w:val="20"/>
                </w:rPr>
                <w:t>ecurities Exchange Act of 1934, as adopted pursuant to Section 302 of the Sarbanes-Oxley Act of 2002</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31.2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6" w:history="1">
              <w:r>
                <w:rPr>
                  <w:rStyle w:val="a3"/>
                  <w:rFonts w:eastAsia="Times New Roman"/>
                  <w:sz w:val="20"/>
                  <w:szCs w:val="20"/>
                </w:rPr>
                <w:t>Certification of Principal Financial Officer pursuant to Rule 13a-14(a) and Rule 15d-14(a) of the Securities Exchange Act of 1934, as adopted pursuant to Section 302 of the Sarbanes-Oxley Act of 2002</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32.1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7" w:history="1">
              <w:r>
                <w:rPr>
                  <w:rStyle w:val="a3"/>
                  <w:rFonts w:eastAsia="Times New Roman"/>
                  <w:sz w:val="20"/>
                  <w:szCs w:val="20"/>
                </w:rPr>
                <w:t>Certification of Principal Executive Officer pursuant to 18 U.S.C. Section 1350, as adopted pursuant to Section 906 of the Sarbanes-Oxley Act of 2002</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32.2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hyperlink r:id="rId28" w:history="1">
              <w:r>
                <w:rPr>
                  <w:rStyle w:val="a3"/>
                  <w:rFonts w:eastAsia="Times New Roman"/>
                  <w:sz w:val="20"/>
                  <w:szCs w:val="20"/>
                </w:rPr>
                <w:t>Certification of Principal Financial Officer pursuant to 18 U.S.C. Section 1350, as adopted pursuant to Section 906 of the Sarbanes-Oxley Act of 2002</w:t>
              </w:r>
            </w:hyperlink>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Inline XBRL Taxonomy Extension Schema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Inline XBRL Taxonomy Extension Calculation Linkbase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Inline XBRL Taxonomy Extension Definition Linkbase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Inline XBRL Taxonomy Extension Label Linkbase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Inline XBRL Taxonomy Extension Presentation Linkbase Document</w:t>
            </w:r>
            <w:r>
              <w:rPr>
                <w:rFonts w:eastAsia="Times New Roman"/>
                <w:color w:val="000000"/>
                <w:sz w:val="20"/>
                <w:szCs w:val="20"/>
              </w:rPr>
              <w: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258AD">
            <w:pPr>
              <w:rPr>
                <w:rFonts w:eastAsia="Times New Roman"/>
              </w:rPr>
            </w:pPr>
          </w:p>
        </w:tc>
        <w:tc>
          <w:tcPr>
            <w:tcW w:w="0" w:type="auto"/>
            <w:gridSpan w:val="3"/>
            <w:tcMar>
              <w:top w:w="30" w:type="dxa"/>
              <w:left w:w="20" w:type="dxa"/>
              <w:bottom w:w="30" w:type="dxa"/>
              <w:right w:w="20" w:type="dxa"/>
            </w:tcMar>
            <w:hideMark/>
          </w:tcPr>
          <w:p w:rsidR="00000000" w:rsidRDefault="007258AD">
            <w:pPr>
              <w:jc w:val="both"/>
              <w:rPr>
                <w:rFonts w:eastAsia="Times New Roman"/>
              </w:rPr>
            </w:pPr>
            <w:r>
              <w:rPr>
                <w:rFonts w:eastAsia="Times New Roman"/>
                <w:color w:val="000000"/>
                <w:sz w:val="20"/>
                <w:szCs w:val="20"/>
              </w:rPr>
              <w:t>Cover Page Interactive Data File - the cover page iXBRL tags are embedded within the Inline XBRL documen</w:t>
            </w:r>
            <w:r>
              <w:rPr>
                <w:rFonts w:eastAsia="Times New Roman"/>
                <w:color w:val="000000"/>
                <w:sz w:val="20"/>
                <w:szCs w:val="20"/>
              </w:rPr>
              <w:t>t</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7258A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r>
    </w:tbl>
    <w:p w:rsidR="00000000" w:rsidRDefault="007258AD">
      <w:pPr>
        <w:jc w:val="both"/>
        <w:rPr>
          <w:rFonts w:eastAsia="Times New Roman"/>
        </w:rPr>
      </w:pPr>
    </w:p>
    <w:p w:rsidR="00000000" w:rsidRDefault="007258AD">
      <w:pPr>
        <w:jc w:val="both"/>
        <w:divId w:val="1106004908"/>
        <w:rPr>
          <w:rFonts w:eastAsia="Times New Roman"/>
        </w:rPr>
      </w:pPr>
      <w:r>
        <w:rPr>
          <w:rFonts w:eastAsia="Times New Roman"/>
          <w:color w:val="000000"/>
          <w:sz w:val="20"/>
          <w:szCs w:val="20"/>
        </w:rPr>
        <w:t>+Filed or furnished herewit</w:t>
      </w:r>
      <w:r>
        <w:rPr>
          <w:rFonts w:eastAsia="Times New Roman"/>
          <w:color w:val="000000"/>
          <w:sz w:val="20"/>
          <w:szCs w:val="20"/>
        </w:rPr>
        <w:t>h</w:t>
      </w:r>
    </w:p>
    <w:p w:rsidR="00000000" w:rsidRDefault="007258AD">
      <w:pPr>
        <w:jc w:val="both"/>
        <w:divId w:val="578178057"/>
        <w:rPr>
          <w:rFonts w:eastAsia="Times New Roman"/>
        </w:rPr>
      </w:pPr>
      <w:r>
        <w:rPr>
          <w:rFonts w:eastAsia="Times New Roman"/>
          <w:color w:val="000000"/>
          <w:sz w:val="20"/>
          <w:szCs w:val="20"/>
        </w:rPr>
        <w:t>*Management contract or compensatory plan or arrangement</w:t>
      </w:r>
      <w:r>
        <w:rPr>
          <w:rFonts w:eastAsia="Times New Roman"/>
          <w:color w:val="000000"/>
          <w:sz w:val="20"/>
          <w:szCs w:val="20"/>
        </w:rPr>
        <w:t>.</w:t>
      </w:r>
    </w:p>
    <w:p w:rsidR="00000000" w:rsidRDefault="007258AD">
      <w:pPr>
        <w:jc w:val="both"/>
        <w:divId w:val="43604717"/>
        <w:rPr>
          <w:rFonts w:eastAsia="Times New Roman"/>
        </w:rPr>
      </w:pPr>
      <w:r>
        <w:rPr>
          <w:rFonts w:eastAsia="Times New Roman"/>
          <w:color w:val="000000"/>
          <w:sz w:val="20"/>
          <w:szCs w:val="20"/>
        </w:rPr>
        <w:t xml:space="preserve"># The Form of Senior Secured Convertible Note (Initial Notes), as amended filed herewith is a corrected version of the Form of Senior Secured Convertible Note (Initial Notes), as amended previously </w:t>
      </w:r>
      <w:r>
        <w:rPr>
          <w:rFonts w:eastAsia="Times New Roman"/>
          <w:color w:val="000000"/>
          <w:sz w:val="20"/>
          <w:szCs w:val="20"/>
        </w:rPr>
        <w:t>filed as Exhibit 4.1 to the Registrant's Annual Report on Form 10-K filed on February 28, 2020</w:t>
      </w:r>
      <w:r>
        <w:rPr>
          <w:rFonts w:eastAsia="Times New Roman"/>
          <w:color w:val="000000"/>
          <w:sz w:val="20"/>
          <w:szCs w:val="20"/>
        </w:rPr>
        <w:t>.</w:t>
      </w:r>
    </w:p>
    <w:p w:rsidR="00000000" w:rsidRDefault="007258AD">
      <w:pPr>
        <w:jc w:val="both"/>
        <w:divId w:val="1645501212"/>
        <w:rPr>
          <w:rFonts w:eastAsia="Times New Roman"/>
        </w:rPr>
      </w:pPr>
      <w:r>
        <w:rPr>
          <w:rFonts w:eastAsia="Times New Roman"/>
          <w:color w:val="000000"/>
          <w:sz w:val="20"/>
          <w:szCs w:val="20"/>
        </w:rPr>
        <w:t>## The Form of Senior Secured Convertible Note (Option Notes), as amended filed herewith is a corrected version of the Form of Senior Secured Convertible Note (</w:t>
      </w:r>
      <w:r>
        <w:rPr>
          <w:rFonts w:eastAsia="Times New Roman"/>
          <w:color w:val="000000"/>
          <w:sz w:val="20"/>
          <w:szCs w:val="20"/>
        </w:rPr>
        <w:t>Option Notes), as amended previously filed as Exhibit 4.2 to the Registrant's Annual Report on Form 10-K filed on February 28, 2020</w:t>
      </w:r>
      <w:r>
        <w:rPr>
          <w:rFonts w:eastAsia="Times New Roman"/>
          <w:color w:val="000000"/>
          <w:sz w:val="20"/>
          <w:szCs w:val="20"/>
        </w:rPr>
        <w:t>.</w:t>
      </w:r>
    </w:p>
    <w:p w:rsidR="00000000" w:rsidRDefault="007258AD">
      <w:pPr>
        <w:jc w:val="center"/>
        <w:divId w:val="1382317072"/>
        <w:rPr>
          <w:rFonts w:eastAsia="Times New Roman"/>
        </w:rPr>
      </w:pPr>
      <w:r>
        <w:rPr>
          <w:rFonts w:eastAsia="Times New Roman"/>
          <w:color w:val="000000"/>
          <w:sz w:val="20"/>
          <w:szCs w:val="20"/>
        </w:rPr>
        <w:t>3</w:t>
      </w:r>
      <w:r>
        <w:rPr>
          <w:rFonts w:eastAsia="Times New Roman"/>
          <w:color w:val="000000"/>
          <w:sz w:val="20"/>
          <w:szCs w:val="20"/>
        </w:rPr>
        <w:t>9</w:t>
      </w:r>
    </w:p>
    <w:p w:rsidR="00000000" w:rsidRDefault="007258AD">
      <w:pPr>
        <w:rPr>
          <w:rFonts w:eastAsia="Times New Roman"/>
        </w:rPr>
      </w:pPr>
      <w:r>
        <w:rPr>
          <w:rFonts w:eastAsia="Times New Roman"/>
        </w:rPr>
        <w:pict>
          <v:rect id="_x0000_i1066" style="width:0;height:1.5pt" o:hralign="center" o:hrstd="t" o:hr="t" fillcolor="#a0a0a0" stroked="f"/>
        </w:pict>
      </w:r>
    </w:p>
    <w:p w:rsidR="00000000" w:rsidRDefault="007258AD">
      <w:pPr>
        <w:jc w:val="both"/>
        <w:divId w:val="53801527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538015276"/>
        <w:rPr>
          <w:rFonts w:eastAsia="Times New Roman"/>
        </w:rPr>
      </w:pPr>
    </w:p>
    <w:p w:rsidR="00000000" w:rsidRDefault="007258AD">
      <w:pPr>
        <w:jc w:val="center"/>
        <w:rPr>
          <w:rFonts w:eastAsia="Times New Roman"/>
        </w:rPr>
      </w:pPr>
      <w:r>
        <w:rPr>
          <w:rFonts w:eastAsia="Times New Roman"/>
          <w:b/>
          <w:bCs/>
          <w:color w:val="000000"/>
          <w:sz w:val="20"/>
          <w:szCs w:val="20"/>
        </w:rPr>
        <w:t>SIGNATUR</w:t>
      </w:r>
      <w:r>
        <w:rPr>
          <w:rFonts w:eastAsia="Times New Roman"/>
          <w:b/>
          <w:bCs/>
          <w:color w:val="000000"/>
          <w:sz w:val="20"/>
          <w:szCs w:val="20"/>
        </w:rPr>
        <w:t>E</w:t>
      </w:r>
    </w:p>
    <w:p w:rsidR="00000000" w:rsidRDefault="007258AD">
      <w:pPr>
        <w:jc w:val="both"/>
        <w:divId w:val="624427364"/>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w:t>
      </w:r>
      <w:r>
        <w:rPr>
          <w:rFonts w:eastAsia="Times New Roman"/>
          <w:color w:val="000000"/>
          <w:sz w:val="20"/>
          <w:szCs w:val="20"/>
        </w:rPr>
        <w:t>behalf by the undersigned thereunto duly authorized</w:t>
      </w:r>
      <w:r>
        <w:rPr>
          <w:rFonts w:eastAsia="Times New Roman"/>
          <w:color w:val="000000"/>
          <w:sz w:val="20"/>
          <w:szCs w:val="20"/>
        </w:rPr>
        <w:t>.</w:t>
      </w:r>
    </w:p>
    <w:p w:rsidR="00000000" w:rsidRDefault="007258AD">
      <w:pPr>
        <w:jc w:val="both"/>
        <w:rPr>
          <w:rFonts w:eastAsia="Times New Roman"/>
        </w:rPr>
      </w:pPr>
      <w:r>
        <w:rPr>
          <w:rFonts w:eastAsia="Times New Roman"/>
          <w:color w:val="000000"/>
          <w:sz w:val="18"/>
          <w:szCs w:val="18"/>
        </w:rPr>
        <w:t> </w:t>
      </w:r>
    </w:p>
    <w:tbl>
      <w:tblPr>
        <w:tblW w:w="4986" w:type="pct"/>
        <w:tblCellMar>
          <w:top w:w="15" w:type="dxa"/>
          <w:left w:w="15" w:type="dxa"/>
          <w:bottom w:w="15" w:type="dxa"/>
          <w:right w:w="15" w:type="dxa"/>
        </w:tblCellMar>
        <w:tblLook w:val="04A0" w:firstRow="1" w:lastRow="0" w:firstColumn="1" w:lastColumn="0" w:noHBand="0" w:noVBand="1"/>
      </w:tblPr>
      <w:tblGrid>
        <w:gridCol w:w="80"/>
        <w:gridCol w:w="3900"/>
        <w:gridCol w:w="81"/>
        <w:gridCol w:w="81"/>
        <w:gridCol w:w="187"/>
        <w:gridCol w:w="81"/>
        <w:gridCol w:w="81"/>
        <w:gridCol w:w="1069"/>
        <w:gridCol w:w="81"/>
        <w:gridCol w:w="81"/>
        <w:gridCol w:w="1069"/>
        <w:gridCol w:w="81"/>
        <w:gridCol w:w="81"/>
        <w:gridCol w:w="1069"/>
        <w:gridCol w:w="81"/>
        <w:gridCol w:w="36"/>
        <w:gridCol w:w="36"/>
        <w:gridCol w:w="36"/>
        <w:gridCol w:w="36"/>
        <w:gridCol w:w="36"/>
      </w:tblGrid>
      <w:tr w:rsidR="00000000">
        <w:trPr>
          <w:gridAfter w:val="5"/>
          <w:divId w:val="973678106"/>
        </w:trPr>
        <w:tc>
          <w:tcPr>
            <w:tcW w:w="50" w:type="pct"/>
            <w:vAlign w:val="center"/>
            <w:hideMark/>
          </w:tcPr>
          <w:p w:rsidR="00000000" w:rsidRDefault="007258AD">
            <w:pPr>
              <w:jc w:val="both"/>
              <w:rPr>
                <w:rFonts w:eastAsia="Times New Roman"/>
              </w:rPr>
            </w:pPr>
          </w:p>
        </w:tc>
        <w:tc>
          <w:tcPr>
            <w:tcW w:w="2406"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115"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6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6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c>
          <w:tcPr>
            <w:tcW w:w="659" w:type="pct"/>
            <w:vAlign w:val="center"/>
            <w:hideMark/>
          </w:tcPr>
          <w:p w:rsidR="00000000" w:rsidRDefault="007258AD">
            <w:pPr>
              <w:rPr>
                <w:rFonts w:eastAsia="Times New Roman"/>
                <w:sz w:val="20"/>
                <w:szCs w:val="20"/>
              </w:rPr>
            </w:pPr>
          </w:p>
        </w:tc>
        <w:tc>
          <w:tcPr>
            <w:tcW w:w="50" w:type="pct"/>
            <w:vAlign w:val="center"/>
            <w:hideMark/>
          </w:tcPr>
          <w:p w:rsidR="00000000" w:rsidRDefault="007258AD">
            <w:pPr>
              <w:rPr>
                <w:rFonts w:eastAsia="Times New Roman"/>
                <w:sz w:val="20"/>
                <w:szCs w:val="20"/>
              </w:rPr>
            </w:pPr>
          </w:p>
        </w:tc>
      </w:tr>
      <w:tr w:rsidR="00000000">
        <w:trPr>
          <w:divId w:val="973678106"/>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7258AD">
            <w:pPr>
              <w:divId w:val="1955939577"/>
              <w:rPr>
                <w:rFonts w:eastAsia="Times New Roman"/>
              </w:rPr>
            </w:pPr>
            <w:r>
              <w:rPr>
                <w:rFonts w:eastAsia="Times New Roman"/>
                <w:color w:val="000000"/>
                <w:sz w:val="16"/>
                <w:szCs w:val="16"/>
              </w:rPr>
              <w:t>CO</w:t>
            </w:r>
            <w:r>
              <w:rPr>
                <w:rFonts w:eastAsia="Times New Roman"/>
                <w:color w:val="000000"/>
                <w:sz w:val="16"/>
                <w:szCs w:val="16"/>
              </w:rPr>
              <w:t>M</w:t>
            </w:r>
            <w:r>
              <w:rPr>
                <w:rFonts w:eastAsia="Times New Roman"/>
                <w:color w:val="000000"/>
                <w:sz w:val="20"/>
                <w:szCs w:val="20"/>
              </w:rPr>
              <w:t>S</w:t>
            </w:r>
            <w:r>
              <w:rPr>
                <w:rFonts w:eastAsia="Times New Roman"/>
                <w:color w:val="000000"/>
                <w:sz w:val="16"/>
                <w:szCs w:val="16"/>
              </w:rPr>
              <w:t>COR</w:t>
            </w:r>
            <w:r>
              <w:rPr>
                <w:rFonts w:eastAsia="Times New Roman"/>
                <w:color w:val="000000"/>
                <w:sz w:val="16"/>
                <w:szCs w:val="16"/>
              </w:rPr>
              <w:t>E</w:t>
            </w:r>
            <w:r>
              <w:rPr>
                <w:rFonts w:eastAsia="Times New Roman"/>
                <w:color w:val="000000"/>
                <w:sz w:val="20"/>
                <w:szCs w:val="20"/>
              </w:rPr>
              <w:t xml:space="preserve">, </w:t>
            </w:r>
            <w:r>
              <w:rPr>
                <w:rFonts w:eastAsia="Times New Roman"/>
                <w:color w:val="000000"/>
                <w:sz w:val="20"/>
                <w:szCs w:val="20"/>
              </w:rPr>
              <w:t>I</w:t>
            </w:r>
            <w:r>
              <w:rPr>
                <w:rFonts w:eastAsia="Times New Roman"/>
                <w:color w:val="000000"/>
                <w:sz w:val="16"/>
                <w:szCs w:val="16"/>
              </w:rPr>
              <w:t>N</w:t>
            </w:r>
            <w:r>
              <w:rPr>
                <w:rFonts w:eastAsia="Times New Roman"/>
                <w:color w:val="000000"/>
                <w:sz w:val="16"/>
                <w:szCs w:val="16"/>
              </w:rPr>
              <w:t>C</w:t>
            </w:r>
            <w:r>
              <w:rPr>
                <w:rFonts w:eastAsia="Times New Roman"/>
                <w:color w:val="000000"/>
                <w:sz w:val="20"/>
                <w:szCs w:val="20"/>
              </w:rPr>
              <w:t>.</w:t>
            </w:r>
          </w:p>
        </w:tc>
        <w:tc>
          <w:tcPr>
            <w:tcW w:w="0" w:type="auto"/>
            <w:vAlign w:val="center"/>
            <w:hideMark/>
          </w:tcPr>
          <w:p w:rsidR="00000000" w:rsidRDefault="007258AD">
            <w:pPr>
              <w:rPr>
                <w:rFonts w:eastAsia="Times New Roman"/>
              </w:rPr>
            </w:pPr>
          </w:p>
        </w:tc>
        <w:tc>
          <w:tcPr>
            <w:tcW w:w="0" w:type="auto"/>
            <w:vAlign w:val="center"/>
            <w:hideMark/>
          </w:tcPr>
          <w:p w:rsidR="00000000" w:rsidRDefault="007258AD">
            <w:pPr>
              <w:rPr>
                <w:rFonts w:eastAsia="Times New Roman"/>
                <w:sz w:val="20"/>
                <w:szCs w:val="20"/>
              </w:rPr>
            </w:pPr>
          </w:p>
        </w:tc>
        <w:tc>
          <w:tcPr>
            <w:tcW w:w="0" w:type="auto"/>
            <w:gridSpan w:val="3"/>
            <w:vAlign w:val="center"/>
            <w:hideMark/>
          </w:tcPr>
          <w:p w:rsidR="00000000" w:rsidRDefault="007258AD">
            <w:pPr>
              <w:rPr>
                <w:rFonts w:eastAsia="Times New Roman"/>
                <w:sz w:val="20"/>
                <w:szCs w:val="20"/>
              </w:rPr>
            </w:pPr>
          </w:p>
        </w:tc>
      </w:tr>
      <w:tr w:rsidR="00000000">
        <w:trPr>
          <w:divId w:val="973678106"/>
          <w:trHeight w:val="300"/>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73678106"/>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9"/>
            <w:tcBorders>
              <w:bottom w:val="single" w:sz="8" w:space="0" w:color="000000"/>
            </w:tcBorders>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/s/ Gregory A. Fin</w:t>
            </w:r>
            <w:r>
              <w:rPr>
                <w:rFonts w:eastAsia="Times New Roman"/>
                <w:color w:val="000000"/>
                <w:sz w:val="20"/>
                <w:szCs w:val="20"/>
              </w:rPr>
              <w:t>k</w:t>
            </w:r>
          </w:p>
        </w:tc>
        <w:tc>
          <w:tcPr>
            <w:tcW w:w="0" w:type="auto"/>
            <w:vAlign w:val="center"/>
            <w:hideMark/>
          </w:tcPr>
          <w:p w:rsidR="00000000" w:rsidRDefault="007258AD">
            <w:pP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73678106"/>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Gregory A. Fin</w:t>
            </w:r>
            <w:r>
              <w:rPr>
                <w:rFonts w:eastAsia="Times New Roman"/>
                <w:color w:val="000000"/>
                <w:sz w:val="20"/>
                <w:szCs w:val="20"/>
              </w:rPr>
              <w:t>k</w:t>
            </w:r>
          </w:p>
        </w:tc>
        <w:tc>
          <w:tcPr>
            <w:tcW w:w="0" w:type="auto"/>
            <w:vAlign w:val="center"/>
            <w:hideMark/>
          </w:tcPr>
          <w:p w:rsidR="00000000" w:rsidRDefault="007258AD">
            <w:pP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73678106"/>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258AD">
            <w:pPr>
              <w:rPr>
                <w:rFonts w:eastAsia="Times New Roman"/>
              </w:rPr>
            </w:pPr>
            <w:r>
              <w:rPr>
                <w:rFonts w:eastAsia="Times New Roman"/>
                <w:color w:val="000000"/>
                <w:sz w:val="20"/>
                <w:szCs w:val="20"/>
              </w:rPr>
              <w:t>Chief Financial Officer and Treasure</w:t>
            </w:r>
            <w:r>
              <w:rPr>
                <w:rFonts w:eastAsia="Times New Roman"/>
                <w:color w:val="000000"/>
                <w:sz w:val="20"/>
                <w:szCs w:val="20"/>
              </w:rPr>
              <w:t>r</w:t>
            </w:r>
          </w:p>
        </w:tc>
        <w:tc>
          <w:tcPr>
            <w:tcW w:w="0" w:type="auto"/>
            <w:vAlign w:val="center"/>
            <w:hideMark/>
          </w:tcPr>
          <w:p w:rsidR="00000000" w:rsidRDefault="007258AD">
            <w:pP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r w:rsidR="00000000">
        <w:trPr>
          <w:divId w:val="973678106"/>
        </w:trPr>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258AD">
            <w:pPr>
              <w:rPr>
                <w:rFonts w:eastAsia="Times New Roman"/>
                <w:sz w:val="20"/>
                <w:szCs w:val="20"/>
              </w:rPr>
            </w:pPr>
          </w:p>
        </w:tc>
        <w:tc>
          <w:tcPr>
            <w:tcW w:w="0" w:type="auto"/>
            <w:gridSpan w:val="9"/>
            <w:tcMar>
              <w:top w:w="30" w:type="dxa"/>
              <w:left w:w="20" w:type="dxa"/>
              <w:bottom w:w="30" w:type="dxa"/>
              <w:right w:w="20" w:type="dxa"/>
            </w:tcMar>
            <w:hideMark/>
          </w:tcPr>
          <w:p w:rsidR="00000000" w:rsidRDefault="007258AD">
            <w:pPr>
              <w:rPr>
                <w:rFonts w:eastAsia="Times New Roman"/>
              </w:rPr>
            </w:pPr>
            <w:r>
              <w:rPr>
                <w:rFonts w:eastAsia="Times New Roman"/>
                <w:color w:val="000000"/>
                <w:sz w:val="20"/>
                <w:szCs w:val="20"/>
              </w:rPr>
              <w:t>(Principal Financial Officer, Principal Accounting Officer and Duly Authorized Officer</w:t>
            </w:r>
            <w:r>
              <w:rPr>
                <w:rFonts w:eastAsia="Times New Roman"/>
                <w:color w:val="000000"/>
                <w:sz w:val="20"/>
                <w:szCs w:val="20"/>
              </w:rPr>
              <w:t>)</w:t>
            </w:r>
          </w:p>
        </w:tc>
        <w:tc>
          <w:tcPr>
            <w:tcW w:w="0" w:type="auto"/>
            <w:vAlign w:val="center"/>
            <w:hideMark/>
          </w:tcPr>
          <w:p w:rsidR="00000000" w:rsidRDefault="007258AD">
            <w:pPr>
              <w:rPr>
                <w:rFonts w:eastAsia="Times New Roman"/>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c>
          <w:tcPr>
            <w:tcW w:w="0" w:type="auto"/>
            <w:vAlign w:val="center"/>
            <w:hideMark/>
          </w:tcPr>
          <w:p w:rsidR="00000000" w:rsidRDefault="007258AD">
            <w:pPr>
              <w:rPr>
                <w:rFonts w:eastAsia="Times New Roman"/>
                <w:sz w:val="20"/>
                <w:szCs w:val="20"/>
              </w:rPr>
            </w:pPr>
          </w:p>
        </w:tc>
      </w:tr>
    </w:tbl>
    <w:p w:rsidR="00000000" w:rsidRDefault="007258AD">
      <w:pPr>
        <w:jc w:val="both"/>
        <w:divId w:val="880827378"/>
        <w:rPr>
          <w:rFonts w:eastAsia="Times New Roman"/>
        </w:rPr>
      </w:pPr>
      <w:r>
        <w:rPr>
          <w:rFonts w:eastAsia="Times New Roman"/>
          <w:color w:val="000000"/>
          <w:sz w:val="20"/>
          <w:szCs w:val="20"/>
        </w:rPr>
        <w:t>August 10, 202</w:t>
      </w:r>
      <w:r>
        <w:rPr>
          <w:rFonts w:eastAsia="Times New Roman"/>
          <w:color w:val="000000"/>
          <w:sz w:val="20"/>
          <w:szCs w:val="20"/>
        </w:rPr>
        <w:t>0</w:t>
      </w:r>
    </w:p>
    <w:p w:rsidR="00000000" w:rsidRDefault="007258AD">
      <w:pPr>
        <w:jc w:val="center"/>
        <w:divId w:val="2021424276"/>
        <w:rPr>
          <w:rFonts w:eastAsia="Times New Roman"/>
        </w:rPr>
      </w:pPr>
      <w:r>
        <w:rPr>
          <w:rFonts w:eastAsia="Times New Roman"/>
          <w:color w:val="000000"/>
          <w:sz w:val="20"/>
          <w:szCs w:val="20"/>
        </w:rPr>
        <w:t>4</w:t>
      </w:r>
      <w:r>
        <w:rPr>
          <w:rFonts w:eastAsia="Times New Roman"/>
          <w:color w:val="000000"/>
          <w:sz w:val="20"/>
          <w:szCs w:val="20"/>
        </w:rPr>
        <w:t>0</w:t>
      </w:r>
    </w:p>
    <w:p w:rsidR="00000000" w:rsidRDefault="007258AD">
      <w:pPr>
        <w:rPr>
          <w:rFonts w:eastAsia="Times New Roman"/>
        </w:rPr>
      </w:pPr>
      <w:r>
        <w:rPr>
          <w:rFonts w:eastAsia="Times New Roman"/>
        </w:rPr>
        <w:pict>
          <v:rect id="_x0000_i1067" style="width:0;height:1.5pt" o:hralign="center" o:hrstd="t" o:hr="t" fillcolor="#a0a0a0" stroked="f"/>
        </w:pict>
      </w:r>
    </w:p>
    <w:p w:rsidR="00000000" w:rsidRDefault="007258AD">
      <w:pPr>
        <w:jc w:val="both"/>
        <w:divId w:val="237131816"/>
        <w:rPr>
          <w:rFonts w:eastAsia="Times New Roman"/>
        </w:rPr>
      </w:pPr>
      <w:hyperlink w:anchor="if3309f2850e6489fbcf3fb9276fba379_7" w:history="1">
        <w:r>
          <w:rPr>
            <w:rStyle w:val="a3"/>
            <w:rFonts w:eastAsia="Times New Roman"/>
            <w:sz w:val="20"/>
            <w:szCs w:val="20"/>
          </w:rPr>
          <w:t>Table of Contents</w:t>
        </w:r>
      </w:hyperlink>
    </w:p>
    <w:p w:rsidR="00000000" w:rsidRDefault="007258AD">
      <w:pPr>
        <w:jc w:val="both"/>
        <w:divId w:val="237131816"/>
        <w:rPr>
          <w:rFonts w:eastAsia="Times New Roman"/>
        </w:rPr>
      </w:pPr>
    </w:p>
    <w:p w:rsidR="00000000" w:rsidRDefault="007258AD">
      <w:pPr>
        <w:jc w:val="center"/>
        <w:divId w:val="225842359"/>
        <w:rPr>
          <w:rFonts w:eastAsia="Times New Roman"/>
        </w:rPr>
      </w:pPr>
    </w:p>
    <w:p w:rsidR="00000000" w:rsidRDefault="007258AD">
      <w:pPr>
        <w:spacing w:before="2500"/>
        <w:jc w:val="center"/>
        <w:divId w:val="1339386549"/>
        <w:rPr>
          <w:rFonts w:eastAsia="Times New Roman"/>
        </w:rPr>
      </w:pPr>
      <w:r>
        <w:rPr>
          <w:rFonts w:eastAsia="Times New Roman"/>
          <w:noProof/>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258AD" w:rsidRDefault="007258AD">
      <w:pPr>
        <w:jc w:val="both"/>
        <w:divId w:val="1148787380"/>
        <w:rPr>
          <w:rFonts w:eastAsia="Times New Roman"/>
        </w:rPr>
      </w:pPr>
    </w:p>
    <w:sectPr w:rsidR="007258A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58AD"/>
    <w:rsid w:val="007258AD"/>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w3.org/1999/xlink"/>
  <w:attachedSchema w:val="http://www.xbrl.org/2003/iso4217"/>
  <w:attachedSchema w:val="http://xbrl.org/2006/xbrldi"/>
  <w:attachedSchema w:val="http://www.comscore.com/20200630"/>
  <w:attachedSchema w:val="http://fasb.org/srt/2020-01-31"/>
  <w:attachedSchema w:val="http://www.xbrl.org/2003/linkbase"/>
  <w:attachedSchema w:val="http://www.xbrl.org/2009/utr"/>
  <w:attachedSchema w:val="http://www.xbrl.org/inlineXBRL/transformation/2015-02-26"/>
  <w:attachedSchema w:val="http://xbrl.sec.gov/country/2020-01-31"/>
  <w:attachedSchema w:val="http://www.xbrl.org/2013/inlineXBRL"/>
  <w:attachedSchema w:val="http://xbrl.sec.gov/dei/2019-01-31"/>
  <w:attachedSchema w:val="http://www.xbrl.org/2003/instance"/>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07">
      <w:marLeft w:val="0"/>
      <w:marRight w:val="0"/>
      <w:marTop w:val="100"/>
      <w:marBottom w:val="0"/>
      <w:divBdr>
        <w:top w:val="none" w:sz="0" w:space="0" w:color="auto"/>
        <w:left w:val="none" w:sz="0" w:space="0" w:color="auto"/>
        <w:bottom w:val="none" w:sz="0" w:space="0" w:color="auto"/>
        <w:right w:val="none" w:sz="0" w:space="0" w:color="auto"/>
      </w:divBdr>
    </w:div>
    <w:div w:id="4406602">
      <w:marLeft w:val="0"/>
      <w:marRight w:val="0"/>
      <w:marTop w:val="120"/>
      <w:marBottom w:val="0"/>
      <w:divBdr>
        <w:top w:val="none" w:sz="0" w:space="0" w:color="auto"/>
        <w:left w:val="none" w:sz="0" w:space="0" w:color="auto"/>
        <w:bottom w:val="none" w:sz="0" w:space="0" w:color="auto"/>
        <w:right w:val="none" w:sz="0" w:space="0" w:color="auto"/>
      </w:divBdr>
    </w:div>
    <w:div w:id="7568411">
      <w:marLeft w:val="0"/>
      <w:marRight w:val="0"/>
      <w:marTop w:val="200"/>
      <w:marBottom w:val="100"/>
      <w:divBdr>
        <w:top w:val="none" w:sz="0" w:space="0" w:color="auto"/>
        <w:left w:val="none" w:sz="0" w:space="0" w:color="auto"/>
        <w:bottom w:val="none" w:sz="0" w:space="0" w:color="auto"/>
        <w:right w:val="none" w:sz="0" w:space="0" w:color="auto"/>
      </w:divBdr>
    </w:div>
    <w:div w:id="12146370">
      <w:marLeft w:val="0"/>
      <w:marRight w:val="0"/>
      <w:marTop w:val="280"/>
      <w:marBottom w:val="0"/>
      <w:divBdr>
        <w:top w:val="none" w:sz="0" w:space="0" w:color="auto"/>
        <w:left w:val="none" w:sz="0" w:space="0" w:color="auto"/>
        <w:bottom w:val="none" w:sz="0" w:space="0" w:color="auto"/>
        <w:right w:val="none" w:sz="0" w:space="0" w:color="auto"/>
      </w:divBdr>
    </w:div>
    <w:div w:id="23333858">
      <w:marLeft w:val="0"/>
      <w:marRight w:val="0"/>
      <w:marTop w:val="280"/>
      <w:marBottom w:val="0"/>
      <w:divBdr>
        <w:top w:val="none" w:sz="0" w:space="0" w:color="auto"/>
        <w:left w:val="none" w:sz="0" w:space="0" w:color="auto"/>
        <w:bottom w:val="none" w:sz="0" w:space="0" w:color="auto"/>
        <w:right w:val="none" w:sz="0" w:space="0" w:color="auto"/>
      </w:divBdr>
    </w:div>
    <w:div w:id="29307478">
      <w:marLeft w:val="0"/>
      <w:marRight w:val="0"/>
      <w:marTop w:val="100"/>
      <w:marBottom w:val="0"/>
      <w:divBdr>
        <w:top w:val="none" w:sz="0" w:space="0" w:color="auto"/>
        <w:left w:val="none" w:sz="0" w:space="0" w:color="auto"/>
        <w:bottom w:val="none" w:sz="0" w:space="0" w:color="auto"/>
        <w:right w:val="none" w:sz="0" w:space="0" w:color="auto"/>
      </w:divBdr>
    </w:div>
    <w:div w:id="35089207">
      <w:marLeft w:val="0"/>
      <w:marRight w:val="0"/>
      <w:marTop w:val="0"/>
      <w:marBottom w:val="120"/>
      <w:divBdr>
        <w:top w:val="none" w:sz="0" w:space="0" w:color="auto"/>
        <w:left w:val="none" w:sz="0" w:space="0" w:color="auto"/>
        <w:bottom w:val="none" w:sz="0" w:space="0" w:color="auto"/>
        <w:right w:val="none" w:sz="0" w:space="0" w:color="auto"/>
      </w:divBdr>
    </w:div>
    <w:div w:id="35156678">
      <w:marLeft w:val="0"/>
      <w:marRight w:val="0"/>
      <w:marTop w:val="100"/>
      <w:marBottom w:val="0"/>
      <w:divBdr>
        <w:top w:val="none" w:sz="0" w:space="0" w:color="auto"/>
        <w:left w:val="none" w:sz="0" w:space="0" w:color="auto"/>
        <w:bottom w:val="none" w:sz="0" w:space="0" w:color="auto"/>
        <w:right w:val="none" w:sz="0" w:space="0" w:color="auto"/>
      </w:divBdr>
    </w:div>
    <w:div w:id="43604717">
      <w:marLeft w:val="0"/>
      <w:marRight w:val="0"/>
      <w:marTop w:val="100"/>
      <w:marBottom w:val="0"/>
      <w:divBdr>
        <w:top w:val="none" w:sz="0" w:space="0" w:color="auto"/>
        <w:left w:val="none" w:sz="0" w:space="0" w:color="auto"/>
        <w:bottom w:val="none" w:sz="0" w:space="0" w:color="auto"/>
        <w:right w:val="none" w:sz="0" w:space="0" w:color="auto"/>
      </w:divBdr>
    </w:div>
    <w:div w:id="49815750">
      <w:marLeft w:val="0"/>
      <w:marRight w:val="0"/>
      <w:marTop w:val="0"/>
      <w:marBottom w:val="0"/>
      <w:divBdr>
        <w:top w:val="none" w:sz="0" w:space="0" w:color="auto"/>
        <w:left w:val="none" w:sz="0" w:space="0" w:color="auto"/>
        <w:bottom w:val="none" w:sz="0" w:space="0" w:color="auto"/>
        <w:right w:val="none" w:sz="0" w:space="0" w:color="auto"/>
      </w:divBdr>
      <w:divsChild>
        <w:div w:id="276371601">
          <w:marLeft w:val="0"/>
          <w:marRight w:val="0"/>
          <w:marTop w:val="0"/>
          <w:marBottom w:val="0"/>
          <w:divBdr>
            <w:top w:val="none" w:sz="0" w:space="0" w:color="auto"/>
            <w:left w:val="none" w:sz="0" w:space="0" w:color="auto"/>
            <w:bottom w:val="none" w:sz="0" w:space="0" w:color="auto"/>
            <w:right w:val="none" w:sz="0" w:space="0" w:color="auto"/>
          </w:divBdr>
        </w:div>
      </w:divsChild>
    </w:div>
    <w:div w:id="52199329">
      <w:marLeft w:val="0"/>
      <w:marRight w:val="0"/>
      <w:marTop w:val="100"/>
      <w:marBottom w:val="0"/>
      <w:divBdr>
        <w:top w:val="none" w:sz="0" w:space="0" w:color="auto"/>
        <w:left w:val="none" w:sz="0" w:space="0" w:color="auto"/>
        <w:bottom w:val="none" w:sz="0" w:space="0" w:color="auto"/>
        <w:right w:val="none" w:sz="0" w:space="0" w:color="auto"/>
      </w:divBdr>
    </w:div>
    <w:div w:id="55706331">
      <w:marLeft w:val="0"/>
      <w:marRight w:val="0"/>
      <w:marTop w:val="0"/>
      <w:marBottom w:val="0"/>
      <w:divBdr>
        <w:top w:val="none" w:sz="0" w:space="0" w:color="auto"/>
        <w:left w:val="none" w:sz="0" w:space="0" w:color="auto"/>
        <w:bottom w:val="none" w:sz="0" w:space="0" w:color="auto"/>
        <w:right w:val="none" w:sz="0" w:space="0" w:color="auto"/>
      </w:divBdr>
      <w:divsChild>
        <w:div w:id="583225183">
          <w:marLeft w:val="0"/>
          <w:marRight w:val="0"/>
          <w:marTop w:val="0"/>
          <w:marBottom w:val="0"/>
          <w:divBdr>
            <w:top w:val="none" w:sz="0" w:space="0" w:color="auto"/>
            <w:left w:val="none" w:sz="0" w:space="0" w:color="auto"/>
            <w:bottom w:val="none" w:sz="0" w:space="0" w:color="auto"/>
            <w:right w:val="none" w:sz="0" w:space="0" w:color="auto"/>
          </w:divBdr>
        </w:div>
      </w:divsChild>
    </w:div>
    <w:div w:id="58553799">
      <w:marLeft w:val="0"/>
      <w:marRight w:val="0"/>
      <w:marTop w:val="0"/>
      <w:marBottom w:val="0"/>
      <w:divBdr>
        <w:top w:val="none" w:sz="0" w:space="0" w:color="auto"/>
        <w:left w:val="none" w:sz="0" w:space="0" w:color="auto"/>
        <w:bottom w:val="none" w:sz="0" w:space="0" w:color="auto"/>
        <w:right w:val="none" w:sz="0" w:space="0" w:color="auto"/>
      </w:divBdr>
    </w:div>
    <w:div w:id="62291807">
      <w:marLeft w:val="0"/>
      <w:marRight w:val="0"/>
      <w:marTop w:val="100"/>
      <w:marBottom w:val="160"/>
      <w:divBdr>
        <w:top w:val="none" w:sz="0" w:space="0" w:color="auto"/>
        <w:left w:val="none" w:sz="0" w:space="0" w:color="auto"/>
        <w:bottom w:val="none" w:sz="0" w:space="0" w:color="auto"/>
        <w:right w:val="none" w:sz="0" w:space="0" w:color="auto"/>
      </w:divBdr>
    </w:div>
    <w:div w:id="63334598">
      <w:marLeft w:val="0"/>
      <w:marRight w:val="0"/>
      <w:marTop w:val="40"/>
      <w:marBottom w:val="0"/>
      <w:divBdr>
        <w:top w:val="none" w:sz="0" w:space="0" w:color="auto"/>
        <w:left w:val="none" w:sz="0" w:space="0" w:color="auto"/>
        <w:bottom w:val="none" w:sz="0" w:space="0" w:color="auto"/>
        <w:right w:val="none" w:sz="0" w:space="0" w:color="auto"/>
      </w:divBdr>
    </w:div>
    <w:div w:id="64185620">
      <w:marLeft w:val="0"/>
      <w:marRight w:val="0"/>
      <w:marTop w:val="100"/>
      <w:marBottom w:val="0"/>
      <w:divBdr>
        <w:top w:val="none" w:sz="0" w:space="0" w:color="auto"/>
        <w:left w:val="none" w:sz="0" w:space="0" w:color="auto"/>
        <w:bottom w:val="none" w:sz="0" w:space="0" w:color="auto"/>
        <w:right w:val="none" w:sz="0" w:space="0" w:color="auto"/>
      </w:divBdr>
    </w:div>
    <w:div w:id="72514875">
      <w:marLeft w:val="0"/>
      <w:marRight w:val="0"/>
      <w:marTop w:val="100"/>
      <w:marBottom w:val="0"/>
      <w:divBdr>
        <w:top w:val="none" w:sz="0" w:space="0" w:color="auto"/>
        <w:left w:val="none" w:sz="0" w:space="0" w:color="auto"/>
        <w:bottom w:val="none" w:sz="0" w:space="0" w:color="auto"/>
        <w:right w:val="none" w:sz="0" w:space="0" w:color="auto"/>
      </w:divBdr>
    </w:div>
    <w:div w:id="87237571">
      <w:marLeft w:val="0"/>
      <w:marRight w:val="0"/>
      <w:marTop w:val="60"/>
      <w:marBottom w:val="0"/>
      <w:divBdr>
        <w:top w:val="none" w:sz="0" w:space="0" w:color="auto"/>
        <w:left w:val="none" w:sz="0" w:space="0" w:color="auto"/>
        <w:bottom w:val="none" w:sz="0" w:space="0" w:color="auto"/>
        <w:right w:val="none" w:sz="0" w:space="0" w:color="auto"/>
      </w:divBdr>
    </w:div>
    <w:div w:id="93289424">
      <w:marLeft w:val="0"/>
      <w:marRight w:val="0"/>
      <w:marTop w:val="100"/>
      <w:marBottom w:val="0"/>
      <w:divBdr>
        <w:top w:val="none" w:sz="0" w:space="0" w:color="auto"/>
        <w:left w:val="none" w:sz="0" w:space="0" w:color="auto"/>
        <w:bottom w:val="none" w:sz="0" w:space="0" w:color="auto"/>
        <w:right w:val="none" w:sz="0" w:space="0" w:color="auto"/>
      </w:divBdr>
    </w:div>
    <w:div w:id="107050940">
      <w:marLeft w:val="0"/>
      <w:marRight w:val="0"/>
      <w:marTop w:val="100"/>
      <w:marBottom w:val="0"/>
      <w:divBdr>
        <w:top w:val="none" w:sz="0" w:space="0" w:color="auto"/>
        <w:left w:val="none" w:sz="0" w:space="0" w:color="auto"/>
        <w:bottom w:val="none" w:sz="0" w:space="0" w:color="auto"/>
        <w:right w:val="none" w:sz="0" w:space="0" w:color="auto"/>
      </w:divBdr>
    </w:div>
    <w:div w:id="107968724">
      <w:marLeft w:val="0"/>
      <w:marRight w:val="0"/>
      <w:marTop w:val="100"/>
      <w:marBottom w:val="0"/>
      <w:divBdr>
        <w:top w:val="none" w:sz="0" w:space="0" w:color="auto"/>
        <w:left w:val="none" w:sz="0" w:space="0" w:color="auto"/>
        <w:bottom w:val="none" w:sz="0" w:space="0" w:color="auto"/>
        <w:right w:val="none" w:sz="0" w:space="0" w:color="auto"/>
      </w:divBdr>
    </w:div>
    <w:div w:id="111442587">
      <w:marLeft w:val="0"/>
      <w:marRight w:val="0"/>
      <w:marTop w:val="100"/>
      <w:marBottom w:val="0"/>
      <w:divBdr>
        <w:top w:val="none" w:sz="0" w:space="0" w:color="auto"/>
        <w:left w:val="none" w:sz="0" w:space="0" w:color="auto"/>
        <w:bottom w:val="none" w:sz="0" w:space="0" w:color="auto"/>
        <w:right w:val="none" w:sz="0" w:space="0" w:color="auto"/>
      </w:divBdr>
    </w:div>
    <w:div w:id="113401464">
      <w:marLeft w:val="0"/>
      <w:marRight w:val="0"/>
      <w:marTop w:val="100"/>
      <w:marBottom w:val="0"/>
      <w:divBdr>
        <w:top w:val="none" w:sz="0" w:space="0" w:color="auto"/>
        <w:left w:val="none" w:sz="0" w:space="0" w:color="auto"/>
        <w:bottom w:val="none" w:sz="0" w:space="0" w:color="auto"/>
        <w:right w:val="none" w:sz="0" w:space="0" w:color="auto"/>
      </w:divBdr>
    </w:div>
    <w:div w:id="116727280">
      <w:marLeft w:val="0"/>
      <w:marRight w:val="0"/>
      <w:marTop w:val="180"/>
      <w:marBottom w:val="0"/>
      <w:divBdr>
        <w:top w:val="none" w:sz="0" w:space="0" w:color="auto"/>
        <w:left w:val="none" w:sz="0" w:space="0" w:color="auto"/>
        <w:bottom w:val="none" w:sz="0" w:space="0" w:color="auto"/>
        <w:right w:val="none" w:sz="0" w:space="0" w:color="auto"/>
      </w:divBdr>
    </w:div>
    <w:div w:id="121121559">
      <w:marLeft w:val="0"/>
      <w:marRight w:val="0"/>
      <w:marTop w:val="160"/>
      <w:marBottom w:val="100"/>
      <w:divBdr>
        <w:top w:val="none" w:sz="0" w:space="0" w:color="auto"/>
        <w:left w:val="none" w:sz="0" w:space="0" w:color="auto"/>
        <w:bottom w:val="none" w:sz="0" w:space="0" w:color="auto"/>
        <w:right w:val="none" w:sz="0" w:space="0" w:color="auto"/>
      </w:divBdr>
    </w:div>
    <w:div w:id="122235986">
      <w:marLeft w:val="0"/>
      <w:marRight w:val="0"/>
      <w:marTop w:val="0"/>
      <w:marBottom w:val="0"/>
      <w:divBdr>
        <w:top w:val="none" w:sz="0" w:space="0" w:color="auto"/>
        <w:left w:val="none" w:sz="0" w:space="0" w:color="auto"/>
        <w:bottom w:val="none" w:sz="0" w:space="0" w:color="auto"/>
        <w:right w:val="none" w:sz="0" w:space="0" w:color="auto"/>
      </w:divBdr>
      <w:divsChild>
        <w:div w:id="946697104">
          <w:marLeft w:val="0"/>
          <w:marRight w:val="0"/>
          <w:marTop w:val="0"/>
          <w:marBottom w:val="0"/>
          <w:divBdr>
            <w:top w:val="none" w:sz="0" w:space="0" w:color="auto"/>
            <w:left w:val="none" w:sz="0" w:space="0" w:color="auto"/>
            <w:bottom w:val="none" w:sz="0" w:space="0" w:color="auto"/>
            <w:right w:val="none" w:sz="0" w:space="0" w:color="auto"/>
          </w:divBdr>
        </w:div>
      </w:divsChild>
    </w:div>
    <w:div w:id="123620365">
      <w:marLeft w:val="0"/>
      <w:marRight w:val="0"/>
      <w:marTop w:val="0"/>
      <w:marBottom w:val="0"/>
      <w:divBdr>
        <w:top w:val="none" w:sz="0" w:space="0" w:color="auto"/>
        <w:left w:val="none" w:sz="0" w:space="0" w:color="auto"/>
        <w:bottom w:val="none" w:sz="0" w:space="0" w:color="auto"/>
        <w:right w:val="none" w:sz="0" w:space="0" w:color="auto"/>
      </w:divBdr>
      <w:divsChild>
        <w:div w:id="947393090">
          <w:marLeft w:val="0"/>
          <w:marRight w:val="0"/>
          <w:marTop w:val="0"/>
          <w:marBottom w:val="0"/>
          <w:divBdr>
            <w:top w:val="none" w:sz="0" w:space="0" w:color="auto"/>
            <w:left w:val="none" w:sz="0" w:space="0" w:color="auto"/>
            <w:bottom w:val="none" w:sz="0" w:space="0" w:color="auto"/>
            <w:right w:val="none" w:sz="0" w:space="0" w:color="auto"/>
          </w:divBdr>
        </w:div>
      </w:divsChild>
    </w:div>
    <w:div w:id="132329156">
      <w:marLeft w:val="0"/>
      <w:marRight w:val="0"/>
      <w:marTop w:val="0"/>
      <w:marBottom w:val="0"/>
      <w:divBdr>
        <w:top w:val="none" w:sz="0" w:space="0" w:color="auto"/>
        <w:left w:val="none" w:sz="0" w:space="0" w:color="auto"/>
        <w:bottom w:val="none" w:sz="0" w:space="0" w:color="auto"/>
        <w:right w:val="none" w:sz="0" w:space="0" w:color="auto"/>
      </w:divBdr>
      <w:divsChild>
        <w:div w:id="1871333771">
          <w:marLeft w:val="0"/>
          <w:marRight w:val="0"/>
          <w:marTop w:val="0"/>
          <w:marBottom w:val="0"/>
          <w:divBdr>
            <w:top w:val="none" w:sz="0" w:space="0" w:color="auto"/>
            <w:left w:val="none" w:sz="0" w:space="0" w:color="auto"/>
            <w:bottom w:val="none" w:sz="0" w:space="0" w:color="auto"/>
            <w:right w:val="none" w:sz="0" w:space="0" w:color="auto"/>
          </w:divBdr>
        </w:div>
      </w:divsChild>
    </w:div>
    <w:div w:id="140270815">
      <w:marLeft w:val="0"/>
      <w:marRight w:val="0"/>
      <w:marTop w:val="280"/>
      <w:marBottom w:val="0"/>
      <w:divBdr>
        <w:top w:val="none" w:sz="0" w:space="0" w:color="auto"/>
        <w:left w:val="none" w:sz="0" w:space="0" w:color="auto"/>
        <w:bottom w:val="none" w:sz="0" w:space="0" w:color="auto"/>
        <w:right w:val="none" w:sz="0" w:space="0" w:color="auto"/>
      </w:divBdr>
    </w:div>
    <w:div w:id="144588162">
      <w:marLeft w:val="0"/>
      <w:marRight w:val="0"/>
      <w:marTop w:val="0"/>
      <w:marBottom w:val="0"/>
      <w:divBdr>
        <w:top w:val="none" w:sz="0" w:space="0" w:color="auto"/>
        <w:left w:val="none" w:sz="0" w:space="0" w:color="auto"/>
        <w:bottom w:val="none" w:sz="0" w:space="0" w:color="auto"/>
        <w:right w:val="none" w:sz="0" w:space="0" w:color="auto"/>
      </w:divBdr>
      <w:divsChild>
        <w:div w:id="410542861">
          <w:marLeft w:val="0"/>
          <w:marRight w:val="0"/>
          <w:marTop w:val="0"/>
          <w:marBottom w:val="0"/>
          <w:divBdr>
            <w:top w:val="none" w:sz="0" w:space="0" w:color="auto"/>
            <w:left w:val="none" w:sz="0" w:space="0" w:color="auto"/>
            <w:bottom w:val="none" w:sz="0" w:space="0" w:color="auto"/>
            <w:right w:val="none" w:sz="0" w:space="0" w:color="auto"/>
          </w:divBdr>
        </w:div>
      </w:divsChild>
    </w:div>
    <w:div w:id="145248364">
      <w:marLeft w:val="0"/>
      <w:marRight w:val="0"/>
      <w:marTop w:val="100"/>
      <w:marBottom w:val="0"/>
      <w:divBdr>
        <w:top w:val="none" w:sz="0" w:space="0" w:color="auto"/>
        <w:left w:val="none" w:sz="0" w:space="0" w:color="auto"/>
        <w:bottom w:val="none" w:sz="0" w:space="0" w:color="auto"/>
        <w:right w:val="none" w:sz="0" w:space="0" w:color="auto"/>
      </w:divBdr>
      <w:divsChild>
        <w:div w:id="1051465074">
          <w:marLeft w:val="0"/>
          <w:marRight w:val="0"/>
          <w:marTop w:val="0"/>
          <w:marBottom w:val="0"/>
          <w:divBdr>
            <w:top w:val="none" w:sz="0" w:space="0" w:color="auto"/>
            <w:left w:val="none" w:sz="0" w:space="0" w:color="auto"/>
            <w:bottom w:val="none" w:sz="0" w:space="0" w:color="auto"/>
            <w:right w:val="none" w:sz="0" w:space="0" w:color="auto"/>
          </w:divBdr>
        </w:div>
      </w:divsChild>
    </w:div>
    <w:div w:id="154340918">
      <w:marLeft w:val="0"/>
      <w:marRight w:val="0"/>
      <w:marTop w:val="100"/>
      <w:marBottom w:val="0"/>
      <w:divBdr>
        <w:top w:val="none" w:sz="0" w:space="0" w:color="auto"/>
        <w:left w:val="none" w:sz="0" w:space="0" w:color="auto"/>
        <w:bottom w:val="none" w:sz="0" w:space="0" w:color="auto"/>
        <w:right w:val="none" w:sz="0" w:space="0" w:color="auto"/>
      </w:divBdr>
    </w:div>
    <w:div w:id="154761621">
      <w:marLeft w:val="0"/>
      <w:marRight w:val="0"/>
      <w:marTop w:val="100"/>
      <w:marBottom w:val="0"/>
      <w:divBdr>
        <w:top w:val="none" w:sz="0" w:space="0" w:color="auto"/>
        <w:left w:val="none" w:sz="0" w:space="0" w:color="auto"/>
        <w:bottom w:val="none" w:sz="0" w:space="0" w:color="auto"/>
        <w:right w:val="none" w:sz="0" w:space="0" w:color="auto"/>
      </w:divBdr>
    </w:div>
    <w:div w:id="163478125">
      <w:marLeft w:val="0"/>
      <w:marRight w:val="0"/>
      <w:marTop w:val="100"/>
      <w:marBottom w:val="0"/>
      <w:divBdr>
        <w:top w:val="none" w:sz="0" w:space="0" w:color="auto"/>
        <w:left w:val="none" w:sz="0" w:space="0" w:color="auto"/>
        <w:bottom w:val="none" w:sz="0" w:space="0" w:color="auto"/>
        <w:right w:val="none" w:sz="0" w:space="0" w:color="auto"/>
      </w:divBdr>
    </w:div>
    <w:div w:id="163710398">
      <w:marLeft w:val="0"/>
      <w:marRight w:val="0"/>
      <w:marTop w:val="280"/>
      <w:marBottom w:val="0"/>
      <w:divBdr>
        <w:top w:val="none" w:sz="0" w:space="0" w:color="auto"/>
        <w:left w:val="none" w:sz="0" w:space="0" w:color="auto"/>
        <w:bottom w:val="none" w:sz="0" w:space="0" w:color="auto"/>
        <w:right w:val="none" w:sz="0" w:space="0" w:color="auto"/>
      </w:divBdr>
    </w:div>
    <w:div w:id="164054379">
      <w:marLeft w:val="0"/>
      <w:marRight w:val="0"/>
      <w:marTop w:val="280"/>
      <w:marBottom w:val="0"/>
      <w:divBdr>
        <w:top w:val="none" w:sz="0" w:space="0" w:color="auto"/>
        <w:left w:val="none" w:sz="0" w:space="0" w:color="auto"/>
        <w:bottom w:val="none" w:sz="0" w:space="0" w:color="auto"/>
        <w:right w:val="none" w:sz="0" w:space="0" w:color="auto"/>
      </w:divBdr>
    </w:div>
    <w:div w:id="172034955">
      <w:marLeft w:val="0"/>
      <w:marRight w:val="0"/>
      <w:marTop w:val="0"/>
      <w:marBottom w:val="0"/>
      <w:divBdr>
        <w:top w:val="none" w:sz="0" w:space="0" w:color="auto"/>
        <w:left w:val="none" w:sz="0" w:space="0" w:color="auto"/>
        <w:bottom w:val="none" w:sz="0" w:space="0" w:color="auto"/>
        <w:right w:val="none" w:sz="0" w:space="0" w:color="auto"/>
      </w:divBdr>
    </w:div>
    <w:div w:id="172184066">
      <w:marLeft w:val="0"/>
      <w:marRight w:val="0"/>
      <w:marTop w:val="100"/>
      <w:marBottom w:val="0"/>
      <w:divBdr>
        <w:top w:val="none" w:sz="0" w:space="0" w:color="auto"/>
        <w:left w:val="none" w:sz="0" w:space="0" w:color="auto"/>
        <w:bottom w:val="none" w:sz="0" w:space="0" w:color="auto"/>
        <w:right w:val="none" w:sz="0" w:space="0" w:color="auto"/>
      </w:divBdr>
    </w:div>
    <w:div w:id="172846095">
      <w:marLeft w:val="0"/>
      <w:marRight w:val="0"/>
      <w:marTop w:val="100"/>
      <w:marBottom w:val="0"/>
      <w:divBdr>
        <w:top w:val="none" w:sz="0" w:space="0" w:color="auto"/>
        <w:left w:val="none" w:sz="0" w:space="0" w:color="auto"/>
        <w:bottom w:val="none" w:sz="0" w:space="0" w:color="auto"/>
        <w:right w:val="none" w:sz="0" w:space="0" w:color="auto"/>
      </w:divBdr>
    </w:div>
    <w:div w:id="174271934">
      <w:marLeft w:val="0"/>
      <w:marRight w:val="0"/>
      <w:marTop w:val="100"/>
      <w:marBottom w:val="0"/>
      <w:divBdr>
        <w:top w:val="none" w:sz="0" w:space="0" w:color="auto"/>
        <w:left w:val="none" w:sz="0" w:space="0" w:color="auto"/>
        <w:bottom w:val="none" w:sz="0" w:space="0" w:color="auto"/>
        <w:right w:val="none" w:sz="0" w:space="0" w:color="auto"/>
      </w:divBdr>
    </w:div>
    <w:div w:id="188375417">
      <w:marLeft w:val="0"/>
      <w:marRight w:val="0"/>
      <w:marTop w:val="100"/>
      <w:marBottom w:val="0"/>
      <w:divBdr>
        <w:top w:val="none" w:sz="0" w:space="0" w:color="auto"/>
        <w:left w:val="none" w:sz="0" w:space="0" w:color="auto"/>
        <w:bottom w:val="none" w:sz="0" w:space="0" w:color="auto"/>
        <w:right w:val="none" w:sz="0" w:space="0" w:color="auto"/>
      </w:divBdr>
    </w:div>
    <w:div w:id="188836604">
      <w:marLeft w:val="0"/>
      <w:marRight w:val="0"/>
      <w:marTop w:val="100"/>
      <w:marBottom w:val="0"/>
      <w:divBdr>
        <w:top w:val="none" w:sz="0" w:space="0" w:color="auto"/>
        <w:left w:val="none" w:sz="0" w:space="0" w:color="auto"/>
        <w:bottom w:val="none" w:sz="0" w:space="0" w:color="auto"/>
        <w:right w:val="none" w:sz="0" w:space="0" w:color="auto"/>
      </w:divBdr>
    </w:div>
    <w:div w:id="192768083">
      <w:marLeft w:val="0"/>
      <w:marRight w:val="0"/>
      <w:marTop w:val="280"/>
      <w:marBottom w:val="0"/>
      <w:divBdr>
        <w:top w:val="none" w:sz="0" w:space="0" w:color="auto"/>
        <w:left w:val="none" w:sz="0" w:space="0" w:color="auto"/>
        <w:bottom w:val="none" w:sz="0" w:space="0" w:color="auto"/>
        <w:right w:val="none" w:sz="0" w:space="0" w:color="auto"/>
      </w:divBdr>
    </w:div>
    <w:div w:id="208684113">
      <w:marLeft w:val="0"/>
      <w:marRight w:val="0"/>
      <w:marTop w:val="100"/>
      <w:marBottom w:val="0"/>
      <w:divBdr>
        <w:top w:val="none" w:sz="0" w:space="0" w:color="auto"/>
        <w:left w:val="none" w:sz="0" w:space="0" w:color="auto"/>
        <w:bottom w:val="none" w:sz="0" w:space="0" w:color="auto"/>
        <w:right w:val="none" w:sz="0" w:space="0" w:color="auto"/>
      </w:divBdr>
    </w:div>
    <w:div w:id="209273319">
      <w:marLeft w:val="0"/>
      <w:marRight w:val="0"/>
      <w:marTop w:val="100"/>
      <w:marBottom w:val="100"/>
      <w:divBdr>
        <w:top w:val="none" w:sz="0" w:space="0" w:color="auto"/>
        <w:left w:val="none" w:sz="0" w:space="0" w:color="auto"/>
        <w:bottom w:val="none" w:sz="0" w:space="0" w:color="auto"/>
        <w:right w:val="none" w:sz="0" w:space="0" w:color="auto"/>
      </w:divBdr>
    </w:div>
    <w:div w:id="212236738">
      <w:marLeft w:val="0"/>
      <w:marRight w:val="0"/>
      <w:marTop w:val="100"/>
      <w:marBottom w:val="0"/>
      <w:divBdr>
        <w:top w:val="none" w:sz="0" w:space="0" w:color="auto"/>
        <w:left w:val="none" w:sz="0" w:space="0" w:color="auto"/>
        <w:bottom w:val="none" w:sz="0" w:space="0" w:color="auto"/>
        <w:right w:val="none" w:sz="0" w:space="0" w:color="auto"/>
      </w:divBdr>
    </w:div>
    <w:div w:id="217204380">
      <w:marLeft w:val="0"/>
      <w:marRight w:val="0"/>
      <w:marTop w:val="100"/>
      <w:marBottom w:val="0"/>
      <w:divBdr>
        <w:top w:val="none" w:sz="0" w:space="0" w:color="auto"/>
        <w:left w:val="none" w:sz="0" w:space="0" w:color="auto"/>
        <w:bottom w:val="none" w:sz="0" w:space="0" w:color="auto"/>
        <w:right w:val="none" w:sz="0" w:space="0" w:color="auto"/>
      </w:divBdr>
    </w:div>
    <w:div w:id="225842359">
      <w:marLeft w:val="0"/>
      <w:marRight w:val="0"/>
      <w:marTop w:val="1000"/>
      <w:marBottom w:val="0"/>
      <w:divBdr>
        <w:top w:val="none" w:sz="0" w:space="0" w:color="auto"/>
        <w:left w:val="none" w:sz="0" w:space="0" w:color="auto"/>
        <w:bottom w:val="none" w:sz="0" w:space="0" w:color="auto"/>
        <w:right w:val="none" w:sz="0" w:space="0" w:color="auto"/>
      </w:divBdr>
    </w:div>
    <w:div w:id="227149967">
      <w:marLeft w:val="0"/>
      <w:marRight w:val="0"/>
      <w:marTop w:val="100"/>
      <w:marBottom w:val="0"/>
      <w:divBdr>
        <w:top w:val="none" w:sz="0" w:space="0" w:color="auto"/>
        <w:left w:val="none" w:sz="0" w:space="0" w:color="auto"/>
        <w:bottom w:val="none" w:sz="0" w:space="0" w:color="auto"/>
        <w:right w:val="none" w:sz="0" w:space="0" w:color="auto"/>
      </w:divBdr>
    </w:div>
    <w:div w:id="230429007">
      <w:marLeft w:val="0"/>
      <w:marRight w:val="0"/>
      <w:marTop w:val="100"/>
      <w:marBottom w:val="0"/>
      <w:divBdr>
        <w:top w:val="none" w:sz="0" w:space="0" w:color="auto"/>
        <w:left w:val="none" w:sz="0" w:space="0" w:color="auto"/>
        <w:bottom w:val="none" w:sz="0" w:space="0" w:color="auto"/>
        <w:right w:val="none" w:sz="0" w:space="0" w:color="auto"/>
      </w:divBdr>
    </w:div>
    <w:div w:id="230430943">
      <w:marLeft w:val="0"/>
      <w:marRight w:val="0"/>
      <w:marTop w:val="100"/>
      <w:marBottom w:val="0"/>
      <w:divBdr>
        <w:top w:val="none" w:sz="0" w:space="0" w:color="auto"/>
        <w:left w:val="none" w:sz="0" w:space="0" w:color="auto"/>
        <w:bottom w:val="none" w:sz="0" w:space="0" w:color="auto"/>
        <w:right w:val="none" w:sz="0" w:space="0" w:color="auto"/>
      </w:divBdr>
    </w:div>
    <w:div w:id="231700304">
      <w:marLeft w:val="0"/>
      <w:marRight w:val="0"/>
      <w:marTop w:val="0"/>
      <w:marBottom w:val="0"/>
      <w:divBdr>
        <w:top w:val="none" w:sz="0" w:space="0" w:color="auto"/>
        <w:left w:val="none" w:sz="0" w:space="0" w:color="auto"/>
        <w:bottom w:val="none" w:sz="0" w:space="0" w:color="auto"/>
        <w:right w:val="none" w:sz="0" w:space="0" w:color="auto"/>
      </w:divBdr>
    </w:div>
    <w:div w:id="237131816">
      <w:marLeft w:val="0"/>
      <w:marRight w:val="0"/>
      <w:marTop w:val="0"/>
      <w:marBottom w:val="0"/>
      <w:divBdr>
        <w:top w:val="none" w:sz="0" w:space="0" w:color="auto"/>
        <w:left w:val="none" w:sz="0" w:space="0" w:color="auto"/>
        <w:bottom w:val="none" w:sz="0" w:space="0" w:color="auto"/>
        <w:right w:val="none" w:sz="0" w:space="0" w:color="auto"/>
      </w:divBdr>
    </w:div>
    <w:div w:id="251546116">
      <w:marLeft w:val="0"/>
      <w:marRight w:val="0"/>
      <w:marTop w:val="100"/>
      <w:marBottom w:val="0"/>
      <w:divBdr>
        <w:top w:val="none" w:sz="0" w:space="0" w:color="auto"/>
        <w:left w:val="none" w:sz="0" w:space="0" w:color="auto"/>
        <w:bottom w:val="none" w:sz="0" w:space="0" w:color="auto"/>
        <w:right w:val="none" w:sz="0" w:space="0" w:color="auto"/>
      </w:divBdr>
    </w:div>
    <w:div w:id="254021860">
      <w:marLeft w:val="0"/>
      <w:marRight w:val="0"/>
      <w:marTop w:val="40"/>
      <w:marBottom w:val="0"/>
      <w:divBdr>
        <w:top w:val="none" w:sz="0" w:space="0" w:color="auto"/>
        <w:left w:val="none" w:sz="0" w:space="0" w:color="auto"/>
        <w:bottom w:val="none" w:sz="0" w:space="0" w:color="auto"/>
        <w:right w:val="none" w:sz="0" w:space="0" w:color="auto"/>
      </w:divBdr>
    </w:div>
    <w:div w:id="257757839">
      <w:marLeft w:val="0"/>
      <w:marRight w:val="0"/>
      <w:marTop w:val="280"/>
      <w:marBottom w:val="0"/>
      <w:divBdr>
        <w:top w:val="none" w:sz="0" w:space="0" w:color="auto"/>
        <w:left w:val="none" w:sz="0" w:space="0" w:color="auto"/>
        <w:bottom w:val="none" w:sz="0" w:space="0" w:color="auto"/>
        <w:right w:val="none" w:sz="0" w:space="0" w:color="auto"/>
      </w:divBdr>
    </w:div>
    <w:div w:id="258951951">
      <w:marLeft w:val="0"/>
      <w:marRight w:val="0"/>
      <w:marTop w:val="0"/>
      <w:marBottom w:val="0"/>
      <w:divBdr>
        <w:top w:val="none" w:sz="0" w:space="0" w:color="auto"/>
        <w:left w:val="none" w:sz="0" w:space="0" w:color="auto"/>
        <w:bottom w:val="none" w:sz="0" w:space="0" w:color="auto"/>
        <w:right w:val="none" w:sz="0" w:space="0" w:color="auto"/>
      </w:divBdr>
    </w:div>
    <w:div w:id="259796529">
      <w:marLeft w:val="0"/>
      <w:marRight w:val="0"/>
      <w:marTop w:val="20"/>
      <w:marBottom w:val="80"/>
      <w:divBdr>
        <w:top w:val="none" w:sz="0" w:space="0" w:color="auto"/>
        <w:left w:val="none" w:sz="0" w:space="0" w:color="auto"/>
        <w:bottom w:val="none" w:sz="0" w:space="0" w:color="auto"/>
        <w:right w:val="none" w:sz="0" w:space="0" w:color="auto"/>
      </w:divBdr>
    </w:div>
    <w:div w:id="262763414">
      <w:marLeft w:val="0"/>
      <w:marRight w:val="0"/>
      <w:marTop w:val="60"/>
      <w:marBottom w:val="0"/>
      <w:divBdr>
        <w:top w:val="none" w:sz="0" w:space="0" w:color="auto"/>
        <w:left w:val="none" w:sz="0" w:space="0" w:color="auto"/>
        <w:bottom w:val="none" w:sz="0" w:space="0" w:color="auto"/>
        <w:right w:val="none" w:sz="0" w:space="0" w:color="auto"/>
      </w:divBdr>
    </w:div>
    <w:div w:id="263344581">
      <w:marLeft w:val="0"/>
      <w:marRight w:val="0"/>
      <w:marTop w:val="280"/>
      <w:marBottom w:val="0"/>
      <w:divBdr>
        <w:top w:val="none" w:sz="0" w:space="0" w:color="auto"/>
        <w:left w:val="none" w:sz="0" w:space="0" w:color="auto"/>
        <w:bottom w:val="none" w:sz="0" w:space="0" w:color="auto"/>
        <w:right w:val="none" w:sz="0" w:space="0" w:color="auto"/>
      </w:divBdr>
    </w:div>
    <w:div w:id="265306066">
      <w:marLeft w:val="0"/>
      <w:marRight w:val="0"/>
      <w:marTop w:val="100"/>
      <w:marBottom w:val="0"/>
      <w:divBdr>
        <w:top w:val="none" w:sz="0" w:space="0" w:color="auto"/>
        <w:left w:val="none" w:sz="0" w:space="0" w:color="auto"/>
        <w:bottom w:val="none" w:sz="0" w:space="0" w:color="auto"/>
        <w:right w:val="none" w:sz="0" w:space="0" w:color="auto"/>
      </w:divBdr>
    </w:div>
    <w:div w:id="265424565">
      <w:marLeft w:val="0"/>
      <w:marRight w:val="0"/>
      <w:marTop w:val="280"/>
      <w:marBottom w:val="0"/>
      <w:divBdr>
        <w:top w:val="none" w:sz="0" w:space="0" w:color="auto"/>
        <w:left w:val="none" w:sz="0" w:space="0" w:color="auto"/>
        <w:bottom w:val="none" w:sz="0" w:space="0" w:color="auto"/>
        <w:right w:val="none" w:sz="0" w:space="0" w:color="auto"/>
      </w:divBdr>
    </w:div>
    <w:div w:id="281083991">
      <w:marLeft w:val="0"/>
      <w:marRight w:val="0"/>
      <w:marTop w:val="100"/>
      <w:marBottom w:val="0"/>
      <w:divBdr>
        <w:top w:val="none" w:sz="0" w:space="0" w:color="auto"/>
        <w:left w:val="none" w:sz="0" w:space="0" w:color="auto"/>
        <w:bottom w:val="none" w:sz="0" w:space="0" w:color="auto"/>
        <w:right w:val="none" w:sz="0" w:space="0" w:color="auto"/>
      </w:divBdr>
    </w:div>
    <w:div w:id="281155902">
      <w:marLeft w:val="0"/>
      <w:marRight w:val="0"/>
      <w:marTop w:val="100"/>
      <w:marBottom w:val="100"/>
      <w:divBdr>
        <w:top w:val="none" w:sz="0" w:space="0" w:color="auto"/>
        <w:left w:val="none" w:sz="0" w:space="0" w:color="auto"/>
        <w:bottom w:val="none" w:sz="0" w:space="0" w:color="auto"/>
        <w:right w:val="none" w:sz="0" w:space="0" w:color="auto"/>
      </w:divBdr>
    </w:div>
    <w:div w:id="284046322">
      <w:marLeft w:val="0"/>
      <w:marRight w:val="0"/>
      <w:marTop w:val="100"/>
      <w:marBottom w:val="0"/>
      <w:divBdr>
        <w:top w:val="none" w:sz="0" w:space="0" w:color="auto"/>
        <w:left w:val="none" w:sz="0" w:space="0" w:color="auto"/>
        <w:bottom w:val="none" w:sz="0" w:space="0" w:color="auto"/>
        <w:right w:val="none" w:sz="0" w:space="0" w:color="auto"/>
      </w:divBdr>
    </w:div>
    <w:div w:id="288586224">
      <w:marLeft w:val="0"/>
      <w:marRight w:val="0"/>
      <w:marTop w:val="100"/>
      <w:marBottom w:val="0"/>
      <w:divBdr>
        <w:top w:val="none" w:sz="0" w:space="0" w:color="auto"/>
        <w:left w:val="none" w:sz="0" w:space="0" w:color="auto"/>
        <w:bottom w:val="none" w:sz="0" w:space="0" w:color="auto"/>
        <w:right w:val="none" w:sz="0" w:space="0" w:color="auto"/>
      </w:divBdr>
    </w:div>
    <w:div w:id="297956906">
      <w:marLeft w:val="0"/>
      <w:marRight w:val="0"/>
      <w:marTop w:val="280"/>
      <w:marBottom w:val="0"/>
      <w:divBdr>
        <w:top w:val="none" w:sz="0" w:space="0" w:color="auto"/>
        <w:left w:val="none" w:sz="0" w:space="0" w:color="auto"/>
        <w:bottom w:val="none" w:sz="0" w:space="0" w:color="auto"/>
        <w:right w:val="none" w:sz="0" w:space="0" w:color="auto"/>
      </w:divBdr>
    </w:div>
    <w:div w:id="300422805">
      <w:marLeft w:val="0"/>
      <w:marRight w:val="0"/>
      <w:marTop w:val="100"/>
      <w:marBottom w:val="0"/>
      <w:divBdr>
        <w:top w:val="none" w:sz="0" w:space="0" w:color="auto"/>
        <w:left w:val="none" w:sz="0" w:space="0" w:color="auto"/>
        <w:bottom w:val="none" w:sz="0" w:space="0" w:color="auto"/>
        <w:right w:val="none" w:sz="0" w:space="0" w:color="auto"/>
      </w:divBdr>
    </w:div>
    <w:div w:id="300774553">
      <w:marLeft w:val="0"/>
      <w:marRight w:val="0"/>
      <w:marTop w:val="100"/>
      <w:marBottom w:val="0"/>
      <w:divBdr>
        <w:top w:val="none" w:sz="0" w:space="0" w:color="auto"/>
        <w:left w:val="none" w:sz="0" w:space="0" w:color="auto"/>
        <w:bottom w:val="none" w:sz="0" w:space="0" w:color="auto"/>
        <w:right w:val="none" w:sz="0" w:space="0" w:color="auto"/>
      </w:divBdr>
      <w:divsChild>
        <w:div w:id="1044673349">
          <w:marLeft w:val="0"/>
          <w:marRight w:val="0"/>
          <w:marTop w:val="0"/>
          <w:marBottom w:val="0"/>
          <w:divBdr>
            <w:top w:val="none" w:sz="0" w:space="0" w:color="auto"/>
            <w:left w:val="none" w:sz="0" w:space="0" w:color="auto"/>
            <w:bottom w:val="none" w:sz="0" w:space="0" w:color="auto"/>
            <w:right w:val="none" w:sz="0" w:space="0" w:color="auto"/>
          </w:divBdr>
        </w:div>
        <w:div w:id="1392734193">
          <w:marLeft w:val="0"/>
          <w:marRight w:val="0"/>
          <w:marTop w:val="0"/>
          <w:marBottom w:val="0"/>
          <w:divBdr>
            <w:top w:val="none" w:sz="0" w:space="0" w:color="auto"/>
            <w:left w:val="none" w:sz="0" w:space="0" w:color="auto"/>
            <w:bottom w:val="none" w:sz="0" w:space="0" w:color="auto"/>
            <w:right w:val="none" w:sz="0" w:space="0" w:color="auto"/>
          </w:divBdr>
        </w:div>
      </w:divsChild>
    </w:div>
    <w:div w:id="301539154">
      <w:marLeft w:val="0"/>
      <w:marRight w:val="0"/>
      <w:marTop w:val="280"/>
      <w:marBottom w:val="0"/>
      <w:divBdr>
        <w:top w:val="none" w:sz="0" w:space="0" w:color="auto"/>
        <w:left w:val="none" w:sz="0" w:space="0" w:color="auto"/>
        <w:bottom w:val="none" w:sz="0" w:space="0" w:color="auto"/>
        <w:right w:val="none" w:sz="0" w:space="0" w:color="auto"/>
      </w:divBdr>
    </w:div>
    <w:div w:id="303434579">
      <w:marLeft w:val="0"/>
      <w:marRight w:val="0"/>
      <w:marTop w:val="280"/>
      <w:marBottom w:val="0"/>
      <w:divBdr>
        <w:top w:val="none" w:sz="0" w:space="0" w:color="auto"/>
        <w:left w:val="none" w:sz="0" w:space="0" w:color="auto"/>
        <w:bottom w:val="none" w:sz="0" w:space="0" w:color="auto"/>
        <w:right w:val="none" w:sz="0" w:space="0" w:color="auto"/>
      </w:divBdr>
    </w:div>
    <w:div w:id="313145001">
      <w:marLeft w:val="0"/>
      <w:marRight w:val="0"/>
      <w:marTop w:val="100"/>
      <w:marBottom w:val="0"/>
      <w:divBdr>
        <w:top w:val="none" w:sz="0" w:space="0" w:color="auto"/>
        <w:left w:val="none" w:sz="0" w:space="0" w:color="auto"/>
        <w:bottom w:val="none" w:sz="0" w:space="0" w:color="auto"/>
        <w:right w:val="none" w:sz="0" w:space="0" w:color="auto"/>
      </w:divBdr>
    </w:div>
    <w:div w:id="314377453">
      <w:marLeft w:val="0"/>
      <w:marRight w:val="0"/>
      <w:marTop w:val="100"/>
      <w:marBottom w:val="0"/>
      <w:divBdr>
        <w:top w:val="none" w:sz="0" w:space="0" w:color="auto"/>
        <w:left w:val="none" w:sz="0" w:space="0" w:color="auto"/>
        <w:bottom w:val="none" w:sz="0" w:space="0" w:color="auto"/>
        <w:right w:val="none" w:sz="0" w:space="0" w:color="auto"/>
      </w:divBdr>
    </w:div>
    <w:div w:id="330498279">
      <w:marLeft w:val="0"/>
      <w:marRight w:val="0"/>
      <w:marTop w:val="0"/>
      <w:marBottom w:val="0"/>
      <w:divBdr>
        <w:top w:val="none" w:sz="0" w:space="0" w:color="auto"/>
        <w:left w:val="none" w:sz="0" w:space="0" w:color="auto"/>
        <w:bottom w:val="none" w:sz="0" w:space="0" w:color="auto"/>
        <w:right w:val="none" w:sz="0" w:space="0" w:color="auto"/>
      </w:divBdr>
    </w:div>
    <w:div w:id="331493106">
      <w:marLeft w:val="0"/>
      <w:marRight w:val="0"/>
      <w:marTop w:val="280"/>
      <w:marBottom w:val="0"/>
      <w:divBdr>
        <w:top w:val="none" w:sz="0" w:space="0" w:color="auto"/>
        <w:left w:val="none" w:sz="0" w:space="0" w:color="auto"/>
        <w:bottom w:val="none" w:sz="0" w:space="0" w:color="auto"/>
        <w:right w:val="none" w:sz="0" w:space="0" w:color="auto"/>
      </w:divBdr>
    </w:div>
    <w:div w:id="332074191">
      <w:marLeft w:val="0"/>
      <w:marRight w:val="0"/>
      <w:marTop w:val="280"/>
      <w:marBottom w:val="0"/>
      <w:divBdr>
        <w:top w:val="none" w:sz="0" w:space="0" w:color="auto"/>
        <w:left w:val="none" w:sz="0" w:space="0" w:color="auto"/>
        <w:bottom w:val="none" w:sz="0" w:space="0" w:color="auto"/>
        <w:right w:val="none" w:sz="0" w:space="0" w:color="auto"/>
      </w:divBdr>
    </w:div>
    <w:div w:id="332689708">
      <w:marLeft w:val="0"/>
      <w:marRight w:val="0"/>
      <w:marTop w:val="60"/>
      <w:marBottom w:val="0"/>
      <w:divBdr>
        <w:top w:val="none" w:sz="0" w:space="0" w:color="auto"/>
        <w:left w:val="none" w:sz="0" w:space="0" w:color="auto"/>
        <w:bottom w:val="none" w:sz="0" w:space="0" w:color="auto"/>
        <w:right w:val="none" w:sz="0" w:space="0" w:color="auto"/>
      </w:divBdr>
    </w:div>
    <w:div w:id="339427719">
      <w:marLeft w:val="0"/>
      <w:marRight w:val="0"/>
      <w:marTop w:val="100"/>
      <w:marBottom w:val="0"/>
      <w:divBdr>
        <w:top w:val="none" w:sz="0" w:space="0" w:color="auto"/>
        <w:left w:val="none" w:sz="0" w:space="0" w:color="auto"/>
        <w:bottom w:val="none" w:sz="0" w:space="0" w:color="auto"/>
        <w:right w:val="none" w:sz="0" w:space="0" w:color="auto"/>
      </w:divBdr>
    </w:div>
    <w:div w:id="340552383">
      <w:marLeft w:val="0"/>
      <w:marRight w:val="0"/>
      <w:marTop w:val="40"/>
      <w:marBottom w:val="0"/>
      <w:divBdr>
        <w:top w:val="none" w:sz="0" w:space="0" w:color="auto"/>
        <w:left w:val="none" w:sz="0" w:space="0" w:color="auto"/>
        <w:bottom w:val="none" w:sz="0" w:space="0" w:color="auto"/>
        <w:right w:val="none" w:sz="0" w:space="0" w:color="auto"/>
      </w:divBdr>
    </w:div>
    <w:div w:id="341401159">
      <w:marLeft w:val="0"/>
      <w:marRight w:val="0"/>
      <w:marTop w:val="280"/>
      <w:marBottom w:val="0"/>
      <w:divBdr>
        <w:top w:val="none" w:sz="0" w:space="0" w:color="auto"/>
        <w:left w:val="none" w:sz="0" w:space="0" w:color="auto"/>
        <w:bottom w:val="none" w:sz="0" w:space="0" w:color="auto"/>
        <w:right w:val="none" w:sz="0" w:space="0" w:color="auto"/>
      </w:divBdr>
    </w:div>
    <w:div w:id="342825968">
      <w:marLeft w:val="0"/>
      <w:marRight w:val="0"/>
      <w:marTop w:val="40"/>
      <w:marBottom w:val="0"/>
      <w:divBdr>
        <w:top w:val="none" w:sz="0" w:space="0" w:color="auto"/>
        <w:left w:val="none" w:sz="0" w:space="0" w:color="auto"/>
        <w:bottom w:val="none" w:sz="0" w:space="0" w:color="auto"/>
        <w:right w:val="none" w:sz="0" w:space="0" w:color="auto"/>
      </w:divBdr>
    </w:div>
    <w:div w:id="373622406">
      <w:marLeft w:val="0"/>
      <w:marRight w:val="0"/>
      <w:marTop w:val="100"/>
      <w:marBottom w:val="0"/>
      <w:divBdr>
        <w:top w:val="none" w:sz="0" w:space="0" w:color="auto"/>
        <w:left w:val="none" w:sz="0" w:space="0" w:color="auto"/>
        <w:bottom w:val="none" w:sz="0" w:space="0" w:color="auto"/>
        <w:right w:val="none" w:sz="0" w:space="0" w:color="auto"/>
      </w:divBdr>
    </w:div>
    <w:div w:id="379402556">
      <w:marLeft w:val="0"/>
      <w:marRight w:val="0"/>
      <w:marTop w:val="100"/>
      <w:marBottom w:val="0"/>
      <w:divBdr>
        <w:top w:val="none" w:sz="0" w:space="0" w:color="auto"/>
        <w:left w:val="none" w:sz="0" w:space="0" w:color="auto"/>
        <w:bottom w:val="none" w:sz="0" w:space="0" w:color="auto"/>
        <w:right w:val="none" w:sz="0" w:space="0" w:color="auto"/>
      </w:divBdr>
    </w:div>
    <w:div w:id="385951650">
      <w:marLeft w:val="0"/>
      <w:marRight w:val="0"/>
      <w:marTop w:val="120"/>
      <w:marBottom w:val="0"/>
      <w:divBdr>
        <w:top w:val="none" w:sz="0" w:space="0" w:color="auto"/>
        <w:left w:val="none" w:sz="0" w:space="0" w:color="auto"/>
        <w:bottom w:val="none" w:sz="0" w:space="0" w:color="auto"/>
        <w:right w:val="none" w:sz="0" w:space="0" w:color="auto"/>
      </w:divBdr>
    </w:div>
    <w:div w:id="388385127">
      <w:marLeft w:val="0"/>
      <w:marRight w:val="0"/>
      <w:marTop w:val="100"/>
      <w:marBottom w:val="0"/>
      <w:divBdr>
        <w:top w:val="none" w:sz="0" w:space="0" w:color="auto"/>
        <w:left w:val="none" w:sz="0" w:space="0" w:color="auto"/>
        <w:bottom w:val="none" w:sz="0" w:space="0" w:color="auto"/>
        <w:right w:val="none" w:sz="0" w:space="0" w:color="auto"/>
      </w:divBdr>
    </w:div>
    <w:div w:id="391001697">
      <w:marLeft w:val="0"/>
      <w:marRight w:val="0"/>
      <w:marTop w:val="280"/>
      <w:marBottom w:val="0"/>
      <w:divBdr>
        <w:top w:val="none" w:sz="0" w:space="0" w:color="auto"/>
        <w:left w:val="none" w:sz="0" w:space="0" w:color="auto"/>
        <w:bottom w:val="none" w:sz="0" w:space="0" w:color="auto"/>
        <w:right w:val="none" w:sz="0" w:space="0" w:color="auto"/>
      </w:divBdr>
    </w:div>
    <w:div w:id="391588378">
      <w:marLeft w:val="0"/>
      <w:marRight w:val="0"/>
      <w:marTop w:val="0"/>
      <w:marBottom w:val="0"/>
      <w:divBdr>
        <w:top w:val="none" w:sz="0" w:space="0" w:color="auto"/>
        <w:left w:val="none" w:sz="0" w:space="0" w:color="auto"/>
        <w:bottom w:val="none" w:sz="0" w:space="0" w:color="auto"/>
        <w:right w:val="none" w:sz="0" w:space="0" w:color="auto"/>
      </w:divBdr>
      <w:divsChild>
        <w:div w:id="2017420996">
          <w:marLeft w:val="0"/>
          <w:marRight w:val="0"/>
          <w:marTop w:val="0"/>
          <w:marBottom w:val="0"/>
          <w:divBdr>
            <w:top w:val="none" w:sz="0" w:space="0" w:color="auto"/>
            <w:left w:val="none" w:sz="0" w:space="0" w:color="auto"/>
            <w:bottom w:val="none" w:sz="0" w:space="0" w:color="auto"/>
            <w:right w:val="none" w:sz="0" w:space="0" w:color="auto"/>
          </w:divBdr>
        </w:div>
      </w:divsChild>
    </w:div>
    <w:div w:id="401025635">
      <w:marLeft w:val="0"/>
      <w:marRight w:val="0"/>
      <w:marTop w:val="100"/>
      <w:marBottom w:val="100"/>
      <w:divBdr>
        <w:top w:val="none" w:sz="0" w:space="0" w:color="auto"/>
        <w:left w:val="none" w:sz="0" w:space="0" w:color="auto"/>
        <w:bottom w:val="none" w:sz="0" w:space="0" w:color="auto"/>
        <w:right w:val="none" w:sz="0" w:space="0" w:color="auto"/>
      </w:divBdr>
      <w:divsChild>
        <w:div w:id="98306850">
          <w:marLeft w:val="0"/>
          <w:marRight w:val="0"/>
          <w:marTop w:val="0"/>
          <w:marBottom w:val="0"/>
          <w:divBdr>
            <w:top w:val="none" w:sz="0" w:space="0" w:color="auto"/>
            <w:left w:val="none" w:sz="0" w:space="0" w:color="auto"/>
            <w:bottom w:val="none" w:sz="0" w:space="0" w:color="auto"/>
            <w:right w:val="none" w:sz="0" w:space="0" w:color="auto"/>
          </w:divBdr>
        </w:div>
        <w:div w:id="301738994">
          <w:marLeft w:val="0"/>
          <w:marRight w:val="0"/>
          <w:marTop w:val="0"/>
          <w:marBottom w:val="0"/>
          <w:divBdr>
            <w:top w:val="none" w:sz="0" w:space="0" w:color="auto"/>
            <w:left w:val="none" w:sz="0" w:space="0" w:color="auto"/>
            <w:bottom w:val="none" w:sz="0" w:space="0" w:color="auto"/>
            <w:right w:val="none" w:sz="0" w:space="0" w:color="auto"/>
          </w:divBdr>
        </w:div>
        <w:div w:id="89787581">
          <w:marLeft w:val="0"/>
          <w:marRight w:val="0"/>
          <w:marTop w:val="0"/>
          <w:marBottom w:val="0"/>
          <w:divBdr>
            <w:top w:val="none" w:sz="0" w:space="0" w:color="auto"/>
            <w:left w:val="none" w:sz="0" w:space="0" w:color="auto"/>
            <w:bottom w:val="none" w:sz="0" w:space="0" w:color="auto"/>
            <w:right w:val="none" w:sz="0" w:space="0" w:color="auto"/>
          </w:divBdr>
        </w:div>
        <w:div w:id="1163545051">
          <w:marLeft w:val="0"/>
          <w:marRight w:val="0"/>
          <w:marTop w:val="0"/>
          <w:marBottom w:val="0"/>
          <w:divBdr>
            <w:top w:val="none" w:sz="0" w:space="0" w:color="auto"/>
            <w:left w:val="none" w:sz="0" w:space="0" w:color="auto"/>
            <w:bottom w:val="none" w:sz="0" w:space="0" w:color="auto"/>
            <w:right w:val="none" w:sz="0" w:space="0" w:color="auto"/>
          </w:divBdr>
        </w:div>
        <w:div w:id="1799182155">
          <w:marLeft w:val="0"/>
          <w:marRight w:val="0"/>
          <w:marTop w:val="0"/>
          <w:marBottom w:val="0"/>
          <w:divBdr>
            <w:top w:val="none" w:sz="0" w:space="0" w:color="auto"/>
            <w:left w:val="none" w:sz="0" w:space="0" w:color="auto"/>
            <w:bottom w:val="none" w:sz="0" w:space="0" w:color="auto"/>
            <w:right w:val="none" w:sz="0" w:space="0" w:color="auto"/>
          </w:divBdr>
        </w:div>
        <w:div w:id="39793098">
          <w:marLeft w:val="0"/>
          <w:marRight w:val="0"/>
          <w:marTop w:val="0"/>
          <w:marBottom w:val="0"/>
          <w:divBdr>
            <w:top w:val="none" w:sz="0" w:space="0" w:color="auto"/>
            <w:left w:val="none" w:sz="0" w:space="0" w:color="auto"/>
            <w:bottom w:val="none" w:sz="0" w:space="0" w:color="auto"/>
            <w:right w:val="none" w:sz="0" w:space="0" w:color="auto"/>
          </w:divBdr>
        </w:div>
        <w:div w:id="470752234">
          <w:marLeft w:val="0"/>
          <w:marRight w:val="0"/>
          <w:marTop w:val="0"/>
          <w:marBottom w:val="0"/>
          <w:divBdr>
            <w:top w:val="none" w:sz="0" w:space="0" w:color="auto"/>
            <w:left w:val="none" w:sz="0" w:space="0" w:color="auto"/>
            <w:bottom w:val="none" w:sz="0" w:space="0" w:color="auto"/>
            <w:right w:val="none" w:sz="0" w:space="0" w:color="auto"/>
          </w:divBdr>
        </w:div>
        <w:div w:id="1882086819">
          <w:marLeft w:val="0"/>
          <w:marRight w:val="0"/>
          <w:marTop w:val="0"/>
          <w:marBottom w:val="0"/>
          <w:divBdr>
            <w:top w:val="none" w:sz="0" w:space="0" w:color="auto"/>
            <w:left w:val="none" w:sz="0" w:space="0" w:color="auto"/>
            <w:bottom w:val="none" w:sz="0" w:space="0" w:color="auto"/>
            <w:right w:val="none" w:sz="0" w:space="0" w:color="auto"/>
          </w:divBdr>
        </w:div>
      </w:divsChild>
    </w:div>
    <w:div w:id="408582207">
      <w:marLeft w:val="0"/>
      <w:marRight w:val="0"/>
      <w:marTop w:val="100"/>
      <w:marBottom w:val="0"/>
      <w:divBdr>
        <w:top w:val="none" w:sz="0" w:space="0" w:color="auto"/>
        <w:left w:val="none" w:sz="0" w:space="0" w:color="auto"/>
        <w:bottom w:val="none" w:sz="0" w:space="0" w:color="auto"/>
        <w:right w:val="none" w:sz="0" w:space="0" w:color="auto"/>
      </w:divBdr>
    </w:div>
    <w:div w:id="410349440">
      <w:marLeft w:val="0"/>
      <w:marRight w:val="0"/>
      <w:marTop w:val="100"/>
      <w:marBottom w:val="0"/>
      <w:divBdr>
        <w:top w:val="none" w:sz="0" w:space="0" w:color="auto"/>
        <w:left w:val="none" w:sz="0" w:space="0" w:color="auto"/>
        <w:bottom w:val="none" w:sz="0" w:space="0" w:color="auto"/>
        <w:right w:val="none" w:sz="0" w:space="0" w:color="auto"/>
      </w:divBdr>
    </w:div>
    <w:div w:id="414984715">
      <w:marLeft w:val="0"/>
      <w:marRight w:val="0"/>
      <w:marTop w:val="100"/>
      <w:marBottom w:val="0"/>
      <w:divBdr>
        <w:top w:val="none" w:sz="0" w:space="0" w:color="auto"/>
        <w:left w:val="none" w:sz="0" w:space="0" w:color="auto"/>
        <w:bottom w:val="none" w:sz="0" w:space="0" w:color="auto"/>
        <w:right w:val="none" w:sz="0" w:space="0" w:color="auto"/>
      </w:divBdr>
    </w:div>
    <w:div w:id="416370982">
      <w:marLeft w:val="0"/>
      <w:marRight w:val="0"/>
      <w:marTop w:val="100"/>
      <w:marBottom w:val="0"/>
      <w:divBdr>
        <w:top w:val="none" w:sz="0" w:space="0" w:color="auto"/>
        <w:left w:val="none" w:sz="0" w:space="0" w:color="auto"/>
        <w:bottom w:val="none" w:sz="0" w:space="0" w:color="auto"/>
        <w:right w:val="none" w:sz="0" w:space="0" w:color="auto"/>
      </w:divBdr>
    </w:div>
    <w:div w:id="423645413">
      <w:marLeft w:val="0"/>
      <w:marRight w:val="0"/>
      <w:marTop w:val="100"/>
      <w:marBottom w:val="0"/>
      <w:divBdr>
        <w:top w:val="none" w:sz="0" w:space="0" w:color="auto"/>
        <w:left w:val="none" w:sz="0" w:space="0" w:color="auto"/>
        <w:bottom w:val="none" w:sz="0" w:space="0" w:color="auto"/>
        <w:right w:val="none" w:sz="0" w:space="0" w:color="auto"/>
      </w:divBdr>
    </w:div>
    <w:div w:id="429588485">
      <w:marLeft w:val="0"/>
      <w:marRight w:val="0"/>
      <w:marTop w:val="280"/>
      <w:marBottom w:val="0"/>
      <w:divBdr>
        <w:top w:val="none" w:sz="0" w:space="0" w:color="auto"/>
        <w:left w:val="none" w:sz="0" w:space="0" w:color="auto"/>
        <w:bottom w:val="none" w:sz="0" w:space="0" w:color="auto"/>
        <w:right w:val="none" w:sz="0" w:space="0" w:color="auto"/>
      </w:divBdr>
    </w:div>
    <w:div w:id="430397626">
      <w:marLeft w:val="0"/>
      <w:marRight w:val="0"/>
      <w:marTop w:val="100"/>
      <w:marBottom w:val="0"/>
      <w:divBdr>
        <w:top w:val="none" w:sz="0" w:space="0" w:color="auto"/>
        <w:left w:val="none" w:sz="0" w:space="0" w:color="auto"/>
        <w:bottom w:val="none" w:sz="0" w:space="0" w:color="auto"/>
        <w:right w:val="none" w:sz="0" w:space="0" w:color="auto"/>
      </w:divBdr>
    </w:div>
    <w:div w:id="431898781">
      <w:marLeft w:val="0"/>
      <w:marRight w:val="0"/>
      <w:marTop w:val="100"/>
      <w:marBottom w:val="0"/>
      <w:divBdr>
        <w:top w:val="none" w:sz="0" w:space="0" w:color="auto"/>
        <w:left w:val="none" w:sz="0" w:space="0" w:color="auto"/>
        <w:bottom w:val="none" w:sz="0" w:space="0" w:color="auto"/>
        <w:right w:val="none" w:sz="0" w:space="0" w:color="auto"/>
      </w:divBdr>
    </w:div>
    <w:div w:id="432942708">
      <w:marLeft w:val="0"/>
      <w:marRight w:val="0"/>
      <w:marTop w:val="100"/>
      <w:marBottom w:val="0"/>
      <w:divBdr>
        <w:top w:val="none" w:sz="0" w:space="0" w:color="auto"/>
        <w:left w:val="none" w:sz="0" w:space="0" w:color="auto"/>
        <w:bottom w:val="none" w:sz="0" w:space="0" w:color="auto"/>
        <w:right w:val="none" w:sz="0" w:space="0" w:color="auto"/>
      </w:divBdr>
      <w:divsChild>
        <w:div w:id="521550407">
          <w:marLeft w:val="0"/>
          <w:marRight w:val="0"/>
          <w:marTop w:val="0"/>
          <w:marBottom w:val="0"/>
          <w:divBdr>
            <w:top w:val="none" w:sz="0" w:space="0" w:color="auto"/>
            <w:left w:val="none" w:sz="0" w:space="0" w:color="auto"/>
            <w:bottom w:val="none" w:sz="0" w:space="0" w:color="auto"/>
            <w:right w:val="none" w:sz="0" w:space="0" w:color="auto"/>
          </w:divBdr>
        </w:div>
        <w:div w:id="1046875849">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907572072">
          <w:marLeft w:val="0"/>
          <w:marRight w:val="0"/>
          <w:marTop w:val="0"/>
          <w:marBottom w:val="0"/>
          <w:divBdr>
            <w:top w:val="none" w:sz="0" w:space="0" w:color="auto"/>
            <w:left w:val="none" w:sz="0" w:space="0" w:color="auto"/>
            <w:bottom w:val="none" w:sz="0" w:space="0" w:color="auto"/>
            <w:right w:val="none" w:sz="0" w:space="0" w:color="auto"/>
          </w:divBdr>
        </w:div>
        <w:div w:id="2000033709">
          <w:marLeft w:val="0"/>
          <w:marRight w:val="0"/>
          <w:marTop w:val="0"/>
          <w:marBottom w:val="0"/>
          <w:divBdr>
            <w:top w:val="none" w:sz="0" w:space="0" w:color="auto"/>
            <w:left w:val="none" w:sz="0" w:space="0" w:color="auto"/>
            <w:bottom w:val="none" w:sz="0" w:space="0" w:color="auto"/>
            <w:right w:val="none" w:sz="0" w:space="0" w:color="auto"/>
          </w:divBdr>
        </w:div>
        <w:div w:id="1518734674">
          <w:marLeft w:val="0"/>
          <w:marRight w:val="0"/>
          <w:marTop w:val="0"/>
          <w:marBottom w:val="0"/>
          <w:divBdr>
            <w:top w:val="none" w:sz="0" w:space="0" w:color="auto"/>
            <w:left w:val="none" w:sz="0" w:space="0" w:color="auto"/>
            <w:bottom w:val="none" w:sz="0" w:space="0" w:color="auto"/>
            <w:right w:val="none" w:sz="0" w:space="0" w:color="auto"/>
          </w:divBdr>
        </w:div>
      </w:divsChild>
    </w:div>
    <w:div w:id="433791043">
      <w:marLeft w:val="0"/>
      <w:marRight w:val="0"/>
      <w:marTop w:val="0"/>
      <w:marBottom w:val="0"/>
      <w:divBdr>
        <w:top w:val="none" w:sz="0" w:space="0" w:color="auto"/>
        <w:left w:val="none" w:sz="0" w:space="0" w:color="auto"/>
        <w:bottom w:val="none" w:sz="0" w:space="0" w:color="auto"/>
        <w:right w:val="none" w:sz="0" w:space="0" w:color="auto"/>
      </w:divBdr>
    </w:div>
    <w:div w:id="436369113">
      <w:marLeft w:val="0"/>
      <w:marRight w:val="0"/>
      <w:marTop w:val="280"/>
      <w:marBottom w:val="0"/>
      <w:divBdr>
        <w:top w:val="none" w:sz="0" w:space="0" w:color="auto"/>
        <w:left w:val="none" w:sz="0" w:space="0" w:color="auto"/>
        <w:bottom w:val="none" w:sz="0" w:space="0" w:color="auto"/>
        <w:right w:val="none" w:sz="0" w:space="0" w:color="auto"/>
      </w:divBdr>
    </w:div>
    <w:div w:id="440926963">
      <w:marLeft w:val="0"/>
      <w:marRight w:val="0"/>
      <w:marTop w:val="40"/>
      <w:marBottom w:val="0"/>
      <w:divBdr>
        <w:top w:val="none" w:sz="0" w:space="0" w:color="auto"/>
        <w:left w:val="none" w:sz="0" w:space="0" w:color="auto"/>
        <w:bottom w:val="none" w:sz="0" w:space="0" w:color="auto"/>
        <w:right w:val="none" w:sz="0" w:space="0" w:color="auto"/>
      </w:divBdr>
    </w:div>
    <w:div w:id="443310718">
      <w:marLeft w:val="0"/>
      <w:marRight w:val="0"/>
      <w:marTop w:val="0"/>
      <w:marBottom w:val="0"/>
      <w:divBdr>
        <w:top w:val="none" w:sz="0" w:space="0" w:color="auto"/>
        <w:left w:val="none" w:sz="0" w:space="0" w:color="auto"/>
        <w:bottom w:val="none" w:sz="0" w:space="0" w:color="auto"/>
        <w:right w:val="none" w:sz="0" w:space="0" w:color="auto"/>
      </w:divBdr>
    </w:div>
    <w:div w:id="445664560">
      <w:marLeft w:val="0"/>
      <w:marRight w:val="0"/>
      <w:marTop w:val="100"/>
      <w:marBottom w:val="0"/>
      <w:divBdr>
        <w:top w:val="none" w:sz="0" w:space="0" w:color="auto"/>
        <w:left w:val="none" w:sz="0" w:space="0" w:color="auto"/>
        <w:bottom w:val="none" w:sz="0" w:space="0" w:color="auto"/>
        <w:right w:val="none" w:sz="0" w:space="0" w:color="auto"/>
      </w:divBdr>
    </w:div>
    <w:div w:id="451753357">
      <w:marLeft w:val="0"/>
      <w:marRight w:val="0"/>
      <w:marTop w:val="100"/>
      <w:marBottom w:val="0"/>
      <w:divBdr>
        <w:top w:val="none" w:sz="0" w:space="0" w:color="auto"/>
        <w:left w:val="none" w:sz="0" w:space="0" w:color="auto"/>
        <w:bottom w:val="none" w:sz="0" w:space="0" w:color="auto"/>
        <w:right w:val="none" w:sz="0" w:space="0" w:color="auto"/>
      </w:divBdr>
    </w:div>
    <w:div w:id="454566231">
      <w:marLeft w:val="0"/>
      <w:marRight w:val="0"/>
      <w:marTop w:val="100"/>
      <w:marBottom w:val="0"/>
      <w:divBdr>
        <w:top w:val="none" w:sz="0" w:space="0" w:color="auto"/>
        <w:left w:val="none" w:sz="0" w:space="0" w:color="auto"/>
        <w:bottom w:val="none" w:sz="0" w:space="0" w:color="auto"/>
        <w:right w:val="none" w:sz="0" w:space="0" w:color="auto"/>
      </w:divBdr>
    </w:div>
    <w:div w:id="455831692">
      <w:marLeft w:val="0"/>
      <w:marRight w:val="0"/>
      <w:marTop w:val="280"/>
      <w:marBottom w:val="0"/>
      <w:divBdr>
        <w:top w:val="none" w:sz="0" w:space="0" w:color="auto"/>
        <w:left w:val="none" w:sz="0" w:space="0" w:color="auto"/>
        <w:bottom w:val="none" w:sz="0" w:space="0" w:color="auto"/>
        <w:right w:val="none" w:sz="0" w:space="0" w:color="auto"/>
      </w:divBdr>
    </w:div>
    <w:div w:id="457187327">
      <w:marLeft w:val="0"/>
      <w:marRight w:val="0"/>
      <w:marTop w:val="100"/>
      <w:marBottom w:val="0"/>
      <w:divBdr>
        <w:top w:val="none" w:sz="0" w:space="0" w:color="auto"/>
        <w:left w:val="none" w:sz="0" w:space="0" w:color="auto"/>
        <w:bottom w:val="none" w:sz="0" w:space="0" w:color="auto"/>
        <w:right w:val="none" w:sz="0" w:space="0" w:color="auto"/>
      </w:divBdr>
    </w:div>
    <w:div w:id="460079566">
      <w:marLeft w:val="0"/>
      <w:marRight w:val="0"/>
      <w:marTop w:val="60"/>
      <w:marBottom w:val="0"/>
      <w:divBdr>
        <w:top w:val="none" w:sz="0" w:space="0" w:color="auto"/>
        <w:left w:val="none" w:sz="0" w:space="0" w:color="auto"/>
        <w:bottom w:val="none" w:sz="0" w:space="0" w:color="auto"/>
        <w:right w:val="none" w:sz="0" w:space="0" w:color="auto"/>
      </w:divBdr>
    </w:div>
    <w:div w:id="469130338">
      <w:marLeft w:val="0"/>
      <w:marRight w:val="0"/>
      <w:marTop w:val="40"/>
      <w:marBottom w:val="0"/>
      <w:divBdr>
        <w:top w:val="none" w:sz="0" w:space="0" w:color="auto"/>
        <w:left w:val="none" w:sz="0" w:space="0" w:color="auto"/>
        <w:bottom w:val="none" w:sz="0" w:space="0" w:color="auto"/>
        <w:right w:val="none" w:sz="0" w:space="0" w:color="auto"/>
      </w:divBdr>
    </w:div>
    <w:div w:id="469592727">
      <w:marLeft w:val="0"/>
      <w:marRight w:val="0"/>
      <w:marTop w:val="180"/>
      <w:marBottom w:val="0"/>
      <w:divBdr>
        <w:top w:val="none" w:sz="0" w:space="0" w:color="auto"/>
        <w:left w:val="none" w:sz="0" w:space="0" w:color="auto"/>
        <w:bottom w:val="none" w:sz="0" w:space="0" w:color="auto"/>
        <w:right w:val="none" w:sz="0" w:space="0" w:color="auto"/>
      </w:divBdr>
    </w:div>
    <w:div w:id="469901615">
      <w:marLeft w:val="0"/>
      <w:marRight w:val="0"/>
      <w:marTop w:val="280"/>
      <w:marBottom w:val="0"/>
      <w:divBdr>
        <w:top w:val="none" w:sz="0" w:space="0" w:color="auto"/>
        <w:left w:val="none" w:sz="0" w:space="0" w:color="auto"/>
        <w:bottom w:val="none" w:sz="0" w:space="0" w:color="auto"/>
        <w:right w:val="none" w:sz="0" w:space="0" w:color="auto"/>
      </w:divBdr>
    </w:div>
    <w:div w:id="471556813">
      <w:marLeft w:val="0"/>
      <w:marRight w:val="0"/>
      <w:marTop w:val="280"/>
      <w:marBottom w:val="0"/>
      <w:divBdr>
        <w:top w:val="none" w:sz="0" w:space="0" w:color="auto"/>
        <w:left w:val="none" w:sz="0" w:space="0" w:color="auto"/>
        <w:bottom w:val="none" w:sz="0" w:space="0" w:color="auto"/>
        <w:right w:val="none" w:sz="0" w:space="0" w:color="auto"/>
      </w:divBdr>
    </w:div>
    <w:div w:id="480003274">
      <w:marLeft w:val="0"/>
      <w:marRight w:val="0"/>
      <w:marTop w:val="100"/>
      <w:marBottom w:val="0"/>
      <w:divBdr>
        <w:top w:val="none" w:sz="0" w:space="0" w:color="auto"/>
        <w:left w:val="none" w:sz="0" w:space="0" w:color="auto"/>
        <w:bottom w:val="none" w:sz="0" w:space="0" w:color="auto"/>
        <w:right w:val="none" w:sz="0" w:space="0" w:color="auto"/>
      </w:divBdr>
    </w:div>
    <w:div w:id="486897117">
      <w:marLeft w:val="0"/>
      <w:marRight w:val="0"/>
      <w:marTop w:val="100"/>
      <w:marBottom w:val="0"/>
      <w:divBdr>
        <w:top w:val="none" w:sz="0" w:space="0" w:color="auto"/>
        <w:left w:val="none" w:sz="0" w:space="0" w:color="auto"/>
        <w:bottom w:val="none" w:sz="0" w:space="0" w:color="auto"/>
        <w:right w:val="none" w:sz="0" w:space="0" w:color="auto"/>
      </w:divBdr>
    </w:div>
    <w:div w:id="490874647">
      <w:marLeft w:val="0"/>
      <w:marRight w:val="0"/>
      <w:marTop w:val="60"/>
      <w:marBottom w:val="0"/>
      <w:divBdr>
        <w:top w:val="none" w:sz="0" w:space="0" w:color="auto"/>
        <w:left w:val="none" w:sz="0" w:space="0" w:color="auto"/>
        <w:bottom w:val="none" w:sz="0" w:space="0" w:color="auto"/>
        <w:right w:val="none" w:sz="0" w:space="0" w:color="auto"/>
      </w:divBdr>
    </w:div>
    <w:div w:id="493643041">
      <w:marLeft w:val="0"/>
      <w:marRight w:val="0"/>
      <w:marTop w:val="100"/>
      <w:marBottom w:val="0"/>
      <w:divBdr>
        <w:top w:val="none" w:sz="0" w:space="0" w:color="auto"/>
        <w:left w:val="none" w:sz="0" w:space="0" w:color="auto"/>
        <w:bottom w:val="none" w:sz="0" w:space="0" w:color="auto"/>
        <w:right w:val="none" w:sz="0" w:space="0" w:color="auto"/>
      </w:divBdr>
    </w:div>
    <w:div w:id="499929203">
      <w:marLeft w:val="0"/>
      <w:marRight w:val="0"/>
      <w:marTop w:val="0"/>
      <w:marBottom w:val="0"/>
      <w:divBdr>
        <w:top w:val="none" w:sz="0" w:space="0" w:color="auto"/>
        <w:left w:val="none" w:sz="0" w:space="0" w:color="auto"/>
        <w:bottom w:val="none" w:sz="0" w:space="0" w:color="auto"/>
        <w:right w:val="none" w:sz="0" w:space="0" w:color="auto"/>
      </w:divBdr>
    </w:div>
    <w:div w:id="503517530">
      <w:marLeft w:val="0"/>
      <w:marRight w:val="0"/>
      <w:marTop w:val="0"/>
      <w:marBottom w:val="0"/>
      <w:divBdr>
        <w:top w:val="none" w:sz="0" w:space="0" w:color="auto"/>
        <w:left w:val="none" w:sz="0" w:space="0" w:color="auto"/>
        <w:bottom w:val="none" w:sz="0" w:space="0" w:color="auto"/>
        <w:right w:val="none" w:sz="0" w:space="0" w:color="auto"/>
      </w:divBdr>
      <w:divsChild>
        <w:div w:id="566109437">
          <w:marLeft w:val="0"/>
          <w:marRight w:val="0"/>
          <w:marTop w:val="0"/>
          <w:marBottom w:val="0"/>
          <w:divBdr>
            <w:top w:val="none" w:sz="0" w:space="0" w:color="auto"/>
            <w:left w:val="none" w:sz="0" w:space="0" w:color="auto"/>
            <w:bottom w:val="none" w:sz="0" w:space="0" w:color="auto"/>
            <w:right w:val="none" w:sz="0" w:space="0" w:color="auto"/>
          </w:divBdr>
        </w:div>
      </w:divsChild>
    </w:div>
    <w:div w:id="503521077">
      <w:marLeft w:val="0"/>
      <w:marRight w:val="0"/>
      <w:marTop w:val="100"/>
      <w:marBottom w:val="100"/>
      <w:divBdr>
        <w:top w:val="none" w:sz="0" w:space="0" w:color="auto"/>
        <w:left w:val="none" w:sz="0" w:space="0" w:color="auto"/>
        <w:bottom w:val="none" w:sz="0" w:space="0" w:color="auto"/>
        <w:right w:val="none" w:sz="0" w:space="0" w:color="auto"/>
      </w:divBdr>
    </w:div>
    <w:div w:id="512456295">
      <w:marLeft w:val="0"/>
      <w:marRight w:val="0"/>
      <w:marTop w:val="40"/>
      <w:marBottom w:val="0"/>
      <w:divBdr>
        <w:top w:val="none" w:sz="0" w:space="0" w:color="auto"/>
        <w:left w:val="none" w:sz="0" w:space="0" w:color="auto"/>
        <w:bottom w:val="none" w:sz="0" w:space="0" w:color="auto"/>
        <w:right w:val="none" w:sz="0" w:space="0" w:color="auto"/>
      </w:divBdr>
    </w:div>
    <w:div w:id="519703561">
      <w:marLeft w:val="0"/>
      <w:marRight w:val="0"/>
      <w:marTop w:val="280"/>
      <w:marBottom w:val="0"/>
      <w:divBdr>
        <w:top w:val="none" w:sz="0" w:space="0" w:color="auto"/>
        <w:left w:val="none" w:sz="0" w:space="0" w:color="auto"/>
        <w:bottom w:val="none" w:sz="0" w:space="0" w:color="auto"/>
        <w:right w:val="none" w:sz="0" w:space="0" w:color="auto"/>
      </w:divBdr>
    </w:div>
    <w:div w:id="519855909">
      <w:marLeft w:val="0"/>
      <w:marRight w:val="0"/>
      <w:marTop w:val="280"/>
      <w:marBottom w:val="0"/>
      <w:divBdr>
        <w:top w:val="none" w:sz="0" w:space="0" w:color="auto"/>
        <w:left w:val="none" w:sz="0" w:space="0" w:color="auto"/>
        <w:bottom w:val="none" w:sz="0" w:space="0" w:color="auto"/>
        <w:right w:val="none" w:sz="0" w:space="0" w:color="auto"/>
      </w:divBdr>
    </w:div>
    <w:div w:id="520627369">
      <w:marLeft w:val="0"/>
      <w:marRight w:val="0"/>
      <w:marTop w:val="100"/>
      <w:marBottom w:val="0"/>
      <w:divBdr>
        <w:top w:val="none" w:sz="0" w:space="0" w:color="auto"/>
        <w:left w:val="none" w:sz="0" w:space="0" w:color="auto"/>
        <w:bottom w:val="none" w:sz="0" w:space="0" w:color="auto"/>
        <w:right w:val="none" w:sz="0" w:space="0" w:color="auto"/>
      </w:divBdr>
    </w:div>
    <w:div w:id="529418730">
      <w:marLeft w:val="0"/>
      <w:marRight w:val="0"/>
      <w:marTop w:val="40"/>
      <w:marBottom w:val="0"/>
      <w:divBdr>
        <w:top w:val="none" w:sz="0" w:space="0" w:color="auto"/>
        <w:left w:val="none" w:sz="0" w:space="0" w:color="auto"/>
        <w:bottom w:val="none" w:sz="0" w:space="0" w:color="auto"/>
        <w:right w:val="none" w:sz="0" w:space="0" w:color="auto"/>
      </w:divBdr>
    </w:div>
    <w:div w:id="532232161">
      <w:marLeft w:val="0"/>
      <w:marRight w:val="0"/>
      <w:marTop w:val="0"/>
      <w:marBottom w:val="0"/>
      <w:divBdr>
        <w:top w:val="none" w:sz="0" w:space="0" w:color="auto"/>
        <w:left w:val="none" w:sz="0" w:space="0" w:color="auto"/>
        <w:bottom w:val="none" w:sz="0" w:space="0" w:color="auto"/>
        <w:right w:val="none" w:sz="0" w:space="0" w:color="auto"/>
      </w:divBdr>
      <w:divsChild>
        <w:div w:id="158346350">
          <w:marLeft w:val="0"/>
          <w:marRight w:val="0"/>
          <w:marTop w:val="0"/>
          <w:marBottom w:val="0"/>
          <w:divBdr>
            <w:top w:val="none" w:sz="0" w:space="0" w:color="auto"/>
            <w:left w:val="none" w:sz="0" w:space="0" w:color="auto"/>
            <w:bottom w:val="none" w:sz="0" w:space="0" w:color="auto"/>
            <w:right w:val="none" w:sz="0" w:space="0" w:color="auto"/>
          </w:divBdr>
        </w:div>
      </w:divsChild>
    </w:div>
    <w:div w:id="538015276">
      <w:marLeft w:val="0"/>
      <w:marRight w:val="0"/>
      <w:marTop w:val="0"/>
      <w:marBottom w:val="0"/>
      <w:divBdr>
        <w:top w:val="none" w:sz="0" w:space="0" w:color="auto"/>
        <w:left w:val="none" w:sz="0" w:space="0" w:color="auto"/>
        <w:bottom w:val="none" w:sz="0" w:space="0" w:color="auto"/>
        <w:right w:val="none" w:sz="0" w:space="0" w:color="auto"/>
      </w:divBdr>
    </w:div>
    <w:div w:id="538862905">
      <w:marLeft w:val="0"/>
      <w:marRight w:val="0"/>
      <w:marTop w:val="100"/>
      <w:marBottom w:val="0"/>
      <w:divBdr>
        <w:top w:val="none" w:sz="0" w:space="0" w:color="auto"/>
        <w:left w:val="none" w:sz="0" w:space="0" w:color="auto"/>
        <w:bottom w:val="none" w:sz="0" w:space="0" w:color="auto"/>
        <w:right w:val="none" w:sz="0" w:space="0" w:color="auto"/>
      </w:divBdr>
    </w:div>
    <w:div w:id="540097767">
      <w:marLeft w:val="0"/>
      <w:marRight w:val="0"/>
      <w:marTop w:val="100"/>
      <w:marBottom w:val="0"/>
      <w:divBdr>
        <w:top w:val="none" w:sz="0" w:space="0" w:color="auto"/>
        <w:left w:val="none" w:sz="0" w:space="0" w:color="auto"/>
        <w:bottom w:val="none" w:sz="0" w:space="0" w:color="auto"/>
        <w:right w:val="none" w:sz="0" w:space="0" w:color="auto"/>
      </w:divBdr>
    </w:div>
    <w:div w:id="540285123">
      <w:marLeft w:val="0"/>
      <w:marRight w:val="0"/>
      <w:marTop w:val="100"/>
      <w:marBottom w:val="0"/>
      <w:divBdr>
        <w:top w:val="none" w:sz="0" w:space="0" w:color="auto"/>
        <w:left w:val="none" w:sz="0" w:space="0" w:color="auto"/>
        <w:bottom w:val="none" w:sz="0" w:space="0" w:color="auto"/>
        <w:right w:val="none" w:sz="0" w:space="0" w:color="auto"/>
      </w:divBdr>
    </w:div>
    <w:div w:id="546649963">
      <w:marLeft w:val="0"/>
      <w:marRight w:val="0"/>
      <w:marTop w:val="0"/>
      <w:marBottom w:val="0"/>
      <w:divBdr>
        <w:top w:val="none" w:sz="0" w:space="0" w:color="auto"/>
        <w:left w:val="none" w:sz="0" w:space="0" w:color="auto"/>
        <w:bottom w:val="none" w:sz="0" w:space="0" w:color="auto"/>
        <w:right w:val="none" w:sz="0" w:space="0" w:color="auto"/>
      </w:divBdr>
      <w:divsChild>
        <w:div w:id="1707873602">
          <w:marLeft w:val="0"/>
          <w:marRight w:val="0"/>
          <w:marTop w:val="0"/>
          <w:marBottom w:val="0"/>
          <w:divBdr>
            <w:top w:val="none" w:sz="0" w:space="0" w:color="auto"/>
            <w:left w:val="none" w:sz="0" w:space="0" w:color="auto"/>
            <w:bottom w:val="none" w:sz="0" w:space="0" w:color="auto"/>
            <w:right w:val="none" w:sz="0" w:space="0" w:color="auto"/>
          </w:divBdr>
        </w:div>
      </w:divsChild>
    </w:div>
    <w:div w:id="565141478">
      <w:marLeft w:val="0"/>
      <w:marRight w:val="0"/>
      <w:marTop w:val="280"/>
      <w:marBottom w:val="0"/>
      <w:divBdr>
        <w:top w:val="none" w:sz="0" w:space="0" w:color="auto"/>
        <w:left w:val="none" w:sz="0" w:space="0" w:color="auto"/>
        <w:bottom w:val="none" w:sz="0" w:space="0" w:color="auto"/>
        <w:right w:val="none" w:sz="0" w:space="0" w:color="auto"/>
      </w:divBdr>
    </w:div>
    <w:div w:id="565261736">
      <w:marLeft w:val="0"/>
      <w:marRight w:val="0"/>
      <w:marTop w:val="40"/>
      <w:marBottom w:val="0"/>
      <w:divBdr>
        <w:top w:val="none" w:sz="0" w:space="0" w:color="auto"/>
        <w:left w:val="none" w:sz="0" w:space="0" w:color="auto"/>
        <w:bottom w:val="none" w:sz="0" w:space="0" w:color="auto"/>
        <w:right w:val="none" w:sz="0" w:space="0" w:color="auto"/>
      </w:divBdr>
      <w:divsChild>
        <w:div w:id="97412412">
          <w:marLeft w:val="0"/>
          <w:marRight w:val="0"/>
          <w:marTop w:val="0"/>
          <w:marBottom w:val="0"/>
          <w:divBdr>
            <w:top w:val="none" w:sz="0" w:space="0" w:color="auto"/>
            <w:left w:val="none" w:sz="0" w:space="0" w:color="auto"/>
            <w:bottom w:val="none" w:sz="0" w:space="0" w:color="auto"/>
            <w:right w:val="none" w:sz="0" w:space="0" w:color="auto"/>
          </w:divBdr>
        </w:div>
        <w:div w:id="1416592578">
          <w:marLeft w:val="0"/>
          <w:marRight w:val="0"/>
          <w:marTop w:val="0"/>
          <w:marBottom w:val="0"/>
          <w:divBdr>
            <w:top w:val="none" w:sz="0" w:space="0" w:color="auto"/>
            <w:left w:val="none" w:sz="0" w:space="0" w:color="auto"/>
            <w:bottom w:val="none" w:sz="0" w:space="0" w:color="auto"/>
            <w:right w:val="none" w:sz="0" w:space="0" w:color="auto"/>
          </w:divBdr>
        </w:div>
      </w:divsChild>
    </w:div>
    <w:div w:id="568539720">
      <w:marLeft w:val="0"/>
      <w:marRight w:val="0"/>
      <w:marTop w:val="0"/>
      <w:marBottom w:val="0"/>
      <w:divBdr>
        <w:top w:val="none" w:sz="0" w:space="0" w:color="auto"/>
        <w:left w:val="none" w:sz="0" w:space="0" w:color="auto"/>
        <w:bottom w:val="none" w:sz="0" w:space="0" w:color="auto"/>
        <w:right w:val="none" w:sz="0" w:space="0" w:color="auto"/>
      </w:divBdr>
      <w:divsChild>
        <w:div w:id="663364238">
          <w:marLeft w:val="0"/>
          <w:marRight w:val="0"/>
          <w:marTop w:val="0"/>
          <w:marBottom w:val="0"/>
          <w:divBdr>
            <w:top w:val="none" w:sz="0" w:space="0" w:color="auto"/>
            <w:left w:val="none" w:sz="0" w:space="0" w:color="auto"/>
            <w:bottom w:val="none" w:sz="0" w:space="0" w:color="auto"/>
            <w:right w:val="none" w:sz="0" w:space="0" w:color="auto"/>
          </w:divBdr>
        </w:div>
      </w:divsChild>
    </w:div>
    <w:div w:id="571815163">
      <w:marLeft w:val="0"/>
      <w:marRight w:val="0"/>
      <w:marTop w:val="100"/>
      <w:marBottom w:val="0"/>
      <w:divBdr>
        <w:top w:val="none" w:sz="0" w:space="0" w:color="auto"/>
        <w:left w:val="none" w:sz="0" w:space="0" w:color="auto"/>
        <w:bottom w:val="none" w:sz="0" w:space="0" w:color="auto"/>
        <w:right w:val="none" w:sz="0" w:space="0" w:color="auto"/>
      </w:divBdr>
    </w:div>
    <w:div w:id="573778653">
      <w:marLeft w:val="0"/>
      <w:marRight w:val="0"/>
      <w:marTop w:val="0"/>
      <w:marBottom w:val="0"/>
      <w:divBdr>
        <w:top w:val="none" w:sz="0" w:space="0" w:color="auto"/>
        <w:left w:val="none" w:sz="0" w:space="0" w:color="auto"/>
        <w:bottom w:val="none" w:sz="0" w:space="0" w:color="auto"/>
        <w:right w:val="none" w:sz="0" w:space="0" w:color="auto"/>
      </w:divBdr>
      <w:divsChild>
        <w:div w:id="957948634">
          <w:marLeft w:val="0"/>
          <w:marRight w:val="0"/>
          <w:marTop w:val="0"/>
          <w:marBottom w:val="0"/>
          <w:divBdr>
            <w:top w:val="none" w:sz="0" w:space="0" w:color="auto"/>
            <w:left w:val="none" w:sz="0" w:space="0" w:color="auto"/>
            <w:bottom w:val="none" w:sz="0" w:space="0" w:color="auto"/>
            <w:right w:val="none" w:sz="0" w:space="0" w:color="auto"/>
          </w:divBdr>
        </w:div>
      </w:divsChild>
    </w:div>
    <w:div w:id="575749708">
      <w:marLeft w:val="0"/>
      <w:marRight w:val="0"/>
      <w:marTop w:val="60"/>
      <w:marBottom w:val="0"/>
      <w:divBdr>
        <w:top w:val="none" w:sz="0" w:space="0" w:color="auto"/>
        <w:left w:val="none" w:sz="0" w:space="0" w:color="auto"/>
        <w:bottom w:val="none" w:sz="0" w:space="0" w:color="auto"/>
        <w:right w:val="none" w:sz="0" w:space="0" w:color="auto"/>
      </w:divBdr>
    </w:div>
    <w:div w:id="578178057">
      <w:marLeft w:val="0"/>
      <w:marRight w:val="0"/>
      <w:marTop w:val="100"/>
      <w:marBottom w:val="0"/>
      <w:divBdr>
        <w:top w:val="none" w:sz="0" w:space="0" w:color="auto"/>
        <w:left w:val="none" w:sz="0" w:space="0" w:color="auto"/>
        <w:bottom w:val="none" w:sz="0" w:space="0" w:color="auto"/>
        <w:right w:val="none" w:sz="0" w:space="0" w:color="auto"/>
      </w:divBdr>
    </w:div>
    <w:div w:id="579606142">
      <w:marLeft w:val="0"/>
      <w:marRight w:val="0"/>
      <w:marTop w:val="0"/>
      <w:marBottom w:val="0"/>
      <w:divBdr>
        <w:top w:val="none" w:sz="0" w:space="0" w:color="auto"/>
        <w:left w:val="none" w:sz="0" w:space="0" w:color="auto"/>
        <w:bottom w:val="none" w:sz="0" w:space="0" w:color="auto"/>
        <w:right w:val="none" w:sz="0" w:space="0" w:color="auto"/>
      </w:divBdr>
      <w:divsChild>
        <w:div w:id="140200959">
          <w:marLeft w:val="0"/>
          <w:marRight w:val="0"/>
          <w:marTop w:val="0"/>
          <w:marBottom w:val="0"/>
          <w:divBdr>
            <w:top w:val="none" w:sz="0" w:space="0" w:color="auto"/>
            <w:left w:val="none" w:sz="0" w:space="0" w:color="auto"/>
            <w:bottom w:val="none" w:sz="0" w:space="0" w:color="auto"/>
            <w:right w:val="none" w:sz="0" w:space="0" w:color="auto"/>
          </w:divBdr>
        </w:div>
      </w:divsChild>
    </w:div>
    <w:div w:id="581723958">
      <w:marLeft w:val="0"/>
      <w:marRight w:val="0"/>
      <w:marTop w:val="60"/>
      <w:marBottom w:val="0"/>
      <w:divBdr>
        <w:top w:val="none" w:sz="0" w:space="0" w:color="auto"/>
        <w:left w:val="none" w:sz="0" w:space="0" w:color="auto"/>
        <w:bottom w:val="none" w:sz="0" w:space="0" w:color="auto"/>
        <w:right w:val="none" w:sz="0" w:space="0" w:color="auto"/>
      </w:divBdr>
    </w:div>
    <w:div w:id="592208346">
      <w:marLeft w:val="0"/>
      <w:marRight w:val="0"/>
      <w:marTop w:val="0"/>
      <w:marBottom w:val="0"/>
      <w:divBdr>
        <w:top w:val="none" w:sz="0" w:space="0" w:color="auto"/>
        <w:left w:val="none" w:sz="0" w:space="0" w:color="auto"/>
        <w:bottom w:val="none" w:sz="0" w:space="0" w:color="auto"/>
        <w:right w:val="none" w:sz="0" w:space="0" w:color="auto"/>
      </w:divBdr>
    </w:div>
    <w:div w:id="594020588">
      <w:marLeft w:val="0"/>
      <w:marRight w:val="0"/>
      <w:marTop w:val="100"/>
      <w:marBottom w:val="0"/>
      <w:divBdr>
        <w:top w:val="none" w:sz="0" w:space="0" w:color="auto"/>
        <w:left w:val="none" w:sz="0" w:space="0" w:color="auto"/>
        <w:bottom w:val="none" w:sz="0" w:space="0" w:color="auto"/>
        <w:right w:val="none" w:sz="0" w:space="0" w:color="auto"/>
      </w:divBdr>
    </w:div>
    <w:div w:id="594704418">
      <w:marLeft w:val="0"/>
      <w:marRight w:val="0"/>
      <w:marTop w:val="100"/>
      <w:marBottom w:val="0"/>
      <w:divBdr>
        <w:top w:val="none" w:sz="0" w:space="0" w:color="auto"/>
        <w:left w:val="none" w:sz="0" w:space="0" w:color="auto"/>
        <w:bottom w:val="none" w:sz="0" w:space="0" w:color="auto"/>
        <w:right w:val="none" w:sz="0" w:space="0" w:color="auto"/>
      </w:divBdr>
    </w:div>
    <w:div w:id="595944257">
      <w:marLeft w:val="0"/>
      <w:marRight w:val="0"/>
      <w:marTop w:val="280"/>
      <w:marBottom w:val="0"/>
      <w:divBdr>
        <w:top w:val="none" w:sz="0" w:space="0" w:color="auto"/>
        <w:left w:val="none" w:sz="0" w:space="0" w:color="auto"/>
        <w:bottom w:val="none" w:sz="0" w:space="0" w:color="auto"/>
        <w:right w:val="none" w:sz="0" w:space="0" w:color="auto"/>
      </w:divBdr>
    </w:div>
    <w:div w:id="596257837">
      <w:marLeft w:val="0"/>
      <w:marRight w:val="0"/>
      <w:marTop w:val="100"/>
      <w:marBottom w:val="0"/>
      <w:divBdr>
        <w:top w:val="none" w:sz="0" w:space="0" w:color="auto"/>
        <w:left w:val="none" w:sz="0" w:space="0" w:color="auto"/>
        <w:bottom w:val="none" w:sz="0" w:space="0" w:color="auto"/>
        <w:right w:val="none" w:sz="0" w:space="0" w:color="auto"/>
      </w:divBdr>
    </w:div>
    <w:div w:id="602151970">
      <w:marLeft w:val="0"/>
      <w:marRight w:val="0"/>
      <w:marTop w:val="280"/>
      <w:marBottom w:val="0"/>
      <w:divBdr>
        <w:top w:val="none" w:sz="0" w:space="0" w:color="auto"/>
        <w:left w:val="none" w:sz="0" w:space="0" w:color="auto"/>
        <w:bottom w:val="none" w:sz="0" w:space="0" w:color="auto"/>
        <w:right w:val="none" w:sz="0" w:space="0" w:color="auto"/>
      </w:divBdr>
    </w:div>
    <w:div w:id="606616789">
      <w:marLeft w:val="0"/>
      <w:marRight w:val="0"/>
      <w:marTop w:val="100"/>
      <w:marBottom w:val="0"/>
      <w:divBdr>
        <w:top w:val="none" w:sz="0" w:space="0" w:color="auto"/>
        <w:left w:val="none" w:sz="0" w:space="0" w:color="auto"/>
        <w:bottom w:val="none" w:sz="0" w:space="0" w:color="auto"/>
        <w:right w:val="none" w:sz="0" w:space="0" w:color="auto"/>
      </w:divBdr>
    </w:div>
    <w:div w:id="609360844">
      <w:marLeft w:val="0"/>
      <w:marRight w:val="0"/>
      <w:marTop w:val="280"/>
      <w:marBottom w:val="0"/>
      <w:divBdr>
        <w:top w:val="none" w:sz="0" w:space="0" w:color="auto"/>
        <w:left w:val="none" w:sz="0" w:space="0" w:color="auto"/>
        <w:bottom w:val="none" w:sz="0" w:space="0" w:color="auto"/>
        <w:right w:val="none" w:sz="0" w:space="0" w:color="auto"/>
      </w:divBdr>
    </w:div>
    <w:div w:id="610013787">
      <w:marLeft w:val="0"/>
      <w:marRight w:val="0"/>
      <w:marTop w:val="280"/>
      <w:marBottom w:val="0"/>
      <w:divBdr>
        <w:top w:val="none" w:sz="0" w:space="0" w:color="auto"/>
        <w:left w:val="none" w:sz="0" w:space="0" w:color="auto"/>
        <w:bottom w:val="none" w:sz="0" w:space="0" w:color="auto"/>
        <w:right w:val="none" w:sz="0" w:space="0" w:color="auto"/>
      </w:divBdr>
    </w:div>
    <w:div w:id="610553372">
      <w:marLeft w:val="0"/>
      <w:marRight w:val="0"/>
      <w:marTop w:val="100"/>
      <w:marBottom w:val="0"/>
      <w:divBdr>
        <w:top w:val="none" w:sz="0" w:space="0" w:color="auto"/>
        <w:left w:val="none" w:sz="0" w:space="0" w:color="auto"/>
        <w:bottom w:val="none" w:sz="0" w:space="0" w:color="auto"/>
        <w:right w:val="none" w:sz="0" w:space="0" w:color="auto"/>
      </w:divBdr>
    </w:div>
    <w:div w:id="616369666">
      <w:marLeft w:val="0"/>
      <w:marRight w:val="0"/>
      <w:marTop w:val="0"/>
      <w:marBottom w:val="0"/>
      <w:divBdr>
        <w:top w:val="none" w:sz="0" w:space="0" w:color="auto"/>
        <w:left w:val="none" w:sz="0" w:space="0" w:color="auto"/>
        <w:bottom w:val="none" w:sz="0" w:space="0" w:color="auto"/>
        <w:right w:val="none" w:sz="0" w:space="0" w:color="auto"/>
      </w:divBdr>
      <w:divsChild>
        <w:div w:id="1441415604">
          <w:marLeft w:val="0"/>
          <w:marRight w:val="0"/>
          <w:marTop w:val="0"/>
          <w:marBottom w:val="0"/>
          <w:divBdr>
            <w:top w:val="none" w:sz="0" w:space="0" w:color="auto"/>
            <w:left w:val="none" w:sz="0" w:space="0" w:color="auto"/>
            <w:bottom w:val="none" w:sz="0" w:space="0" w:color="auto"/>
            <w:right w:val="none" w:sz="0" w:space="0" w:color="auto"/>
          </w:divBdr>
        </w:div>
      </w:divsChild>
    </w:div>
    <w:div w:id="617878984">
      <w:marLeft w:val="0"/>
      <w:marRight w:val="0"/>
      <w:marTop w:val="60"/>
      <w:marBottom w:val="0"/>
      <w:divBdr>
        <w:top w:val="none" w:sz="0" w:space="0" w:color="auto"/>
        <w:left w:val="none" w:sz="0" w:space="0" w:color="auto"/>
        <w:bottom w:val="none" w:sz="0" w:space="0" w:color="auto"/>
        <w:right w:val="none" w:sz="0" w:space="0" w:color="auto"/>
      </w:divBdr>
    </w:div>
    <w:div w:id="622229741">
      <w:marLeft w:val="0"/>
      <w:marRight w:val="0"/>
      <w:marTop w:val="0"/>
      <w:marBottom w:val="0"/>
      <w:divBdr>
        <w:top w:val="none" w:sz="0" w:space="0" w:color="auto"/>
        <w:left w:val="none" w:sz="0" w:space="0" w:color="auto"/>
        <w:bottom w:val="none" w:sz="0" w:space="0" w:color="auto"/>
        <w:right w:val="none" w:sz="0" w:space="0" w:color="auto"/>
      </w:divBdr>
      <w:divsChild>
        <w:div w:id="1409307314">
          <w:marLeft w:val="0"/>
          <w:marRight w:val="0"/>
          <w:marTop w:val="0"/>
          <w:marBottom w:val="0"/>
          <w:divBdr>
            <w:top w:val="none" w:sz="0" w:space="0" w:color="auto"/>
            <w:left w:val="none" w:sz="0" w:space="0" w:color="auto"/>
            <w:bottom w:val="none" w:sz="0" w:space="0" w:color="auto"/>
            <w:right w:val="none" w:sz="0" w:space="0" w:color="auto"/>
          </w:divBdr>
        </w:div>
      </w:divsChild>
    </w:div>
    <w:div w:id="624427364">
      <w:marLeft w:val="0"/>
      <w:marRight w:val="0"/>
      <w:marTop w:val="280"/>
      <w:marBottom w:val="0"/>
      <w:divBdr>
        <w:top w:val="none" w:sz="0" w:space="0" w:color="auto"/>
        <w:left w:val="none" w:sz="0" w:space="0" w:color="auto"/>
        <w:bottom w:val="none" w:sz="0" w:space="0" w:color="auto"/>
        <w:right w:val="none" w:sz="0" w:space="0" w:color="auto"/>
      </w:divBdr>
    </w:div>
    <w:div w:id="629939647">
      <w:marLeft w:val="0"/>
      <w:marRight w:val="0"/>
      <w:marTop w:val="100"/>
      <w:marBottom w:val="0"/>
      <w:divBdr>
        <w:top w:val="none" w:sz="0" w:space="0" w:color="auto"/>
        <w:left w:val="none" w:sz="0" w:space="0" w:color="auto"/>
        <w:bottom w:val="none" w:sz="0" w:space="0" w:color="auto"/>
        <w:right w:val="none" w:sz="0" w:space="0" w:color="auto"/>
      </w:divBdr>
    </w:div>
    <w:div w:id="630592628">
      <w:marLeft w:val="0"/>
      <w:marRight w:val="0"/>
      <w:marTop w:val="100"/>
      <w:marBottom w:val="0"/>
      <w:divBdr>
        <w:top w:val="none" w:sz="0" w:space="0" w:color="auto"/>
        <w:left w:val="none" w:sz="0" w:space="0" w:color="auto"/>
        <w:bottom w:val="none" w:sz="0" w:space="0" w:color="auto"/>
        <w:right w:val="none" w:sz="0" w:space="0" w:color="auto"/>
      </w:divBdr>
    </w:div>
    <w:div w:id="630981558">
      <w:marLeft w:val="0"/>
      <w:marRight w:val="0"/>
      <w:marTop w:val="100"/>
      <w:marBottom w:val="0"/>
      <w:divBdr>
        <w:top w:val="none" w:sz="0" w:space="0" w:color="auto"/>
        <w:left w:val="none" w:sz="0" w:space="0" w:color="auto"/>
        <w:bottom w:val="none" w:sz="0" w:space="0" w:color="auto"/>
        <w:right w:val="none" w:sz="0" w:space="0" w:color="auto"/>
      </w:divBdr>
    </w:div>
    <w:div w:id="639193041">
      <w:marLeft w:val="0"/>
      <w:marRight w:val="0"/>
      <w:marTop w:val="0"/>
      <w:marBottom w:val="0"/>
      <w:divBdr>
        <w:top w:val="none" w:sz="0" w:space="0" w:color="auto"/>
        <w:left w:val="none" w:sz="0" w:space="0" w:color="auto"/>
        <w:bottom w:val="none" w:sz="0" w:space="0" w:color="auto"/>
        <w:right w:val="none" w:sz="0" w:space="0" w:color="auto"/>
      </w:divBdr>
    </w:div>
    <w:div w:id="641270199">
      <w:marLeft w:val="0"/>
      <w:marRight w:val="0"/>
      <w:marTop w:val="280"/>
      <w:marBottom w:val="0"/>
      <w:divBdr>
        <w:top w:val="none" w:sz="0" w:space="0" w:color="auto"/>
        <w:left w:val="none" w:sz="0" w:space="0" w:color="auto"/>
        <w:bottom w:val="none" w:sz="0" w:space="0" w:color="auto"/>
        <w:right w:val="none" w:sz="0" w:space="0" w:color="auto"/>
      </w:divBdr>
    </w:div>
    <w:div w:id="659046594">
      <w:marLeft w:val="0"/>
      <w:marRight w:val="0"/>
      <w:marTop w:val="100"/>
      <w:marBottom w:val="0"/>
      <w:divBdr>
        <w:top w:val="none" w:sz="0" w:space="0" w:color="auto"/>
        <w:left w:val="none" w:sz="0" w:space="0" w:color="auto"/>
        <w:bottom w:val="none" w:sz="0" w:space="0" w:color="auto"/>
        <w:right w:val="none" w:sz="0" w:space="0" w:color="auto"/>
      </w:divBdr>
    </w:div>
    <w:div w:id="668140534">
      <w:marLeft w:val="0"/>
      <w:marRight w:val="0"/>
      <w:marTop w:val="40"/>
      <w:marBottom w:val="0"/>
      <w:divBdr>
        <w:top w:val="none" w:sz="0" w:space="0" w:color="auto"/>
        <w:left w:val="none" w:sz="0" w:space="0" w:color="auto"/>
        <w:bottom w:val="none" w:sz="0" w:space="0" w:color="auto"/>
        <w:right w:val="none" w:sz="0" w:space="0" w:color="auto"/>
      </w:divBdr>
    </w:div>
    <w:div w:id="672879792">
      <w:marLeft w:val="0"/>
      <w:marRight w:val="0"/>
      <w:marTop w:val="0"/>
      <w:marBottom w:val="0"/>
      <w:divBdr>
        <w:top w:val="none" w:sz="0" w:space="0" w:color="auto"/>
        <w:left w:val="none" w:sz="0" w:space="0" w:color="auto"/>
        <w:bottom w:val="none" w:sz="0" w:space="0" w:color="auto"/>
        <w:right w:val="none" w:sz="0" w:space="0" w:color="auto"/>
      </w:divBdr>
      <w:divsChild>
        <w:div w:id="1669213495">
          <w:marLeft w:val="0"/>
          <w:marRight w:val="0"/>
          <w:marTop w:val="0"/>
          <w:marBottom w:val="0"/>
          <w:divBdr>
            <w:top w:val="none" w:sz="0" w:space="0" w:color="auto"/>
            <w:left w:val="none" w:sz="0" w:space="0" w:color="auto"/>
            <w:bottom w:val="none" w:sz="0" w:space="0" w:color="auto"/>
            <w:right w:val="none" w:sz="0" w:space="0" w:color="auto"/>
          </w:divBdr>
        </w:div>
      </w:divsChild>
    </w:div>
    <w:div w:id="676539810">
      <w:marLeft w:val="0"/>
      <w:marRight w:val="0"/>
      <w:marTop w:val="0"/>
      <w:marBottom w:val="0"/>
      <w:divBdr>
        <w:top w:val="none" w:sz="0" w:space="0" w:color="auto"/>
        <w:left w:val="none" w:sz="0" w:space="0" w:color="auto"/>
        <w:bottom w:val="none" w:sz="0" w:space="0" w:color="auto"/>
        <w:right w:val="none" w:sz="0" w:space="0" w:color="auto"/>
      </w:divBdr>
    </w:div>
    <w:div w:id="678695788">
      <w:marLeft w:val="0"/>
      <w:marRight w:val="0"/>
      <w:marTop w:val="280"/>
      <w:marBottom w:val="0"/>
      <w:divBdr>
        <w:top w:val="none" w:sz="0" w:space="0" w:color="auto"/>
        <w:left w:val="none" w:sz="0" w:space="0" w:color="auto"/>
        <w:bottom w:val="none" w:sz="0" w:space="0" w:color="auto"/>
        <w:right w:val="none" w:sz="0" w:space="0" w:color="auto"/>
      </w:divBdr>
    </w:div>
    <w:div w:id="691959162">
      <w:marLeft w:val="0"/>
      <w:marRight w:val="0"/>
      <w:marTop w:val="100"/>
      <w:marBottom w:val="120"/>
      <w:divBdr>
        <w:top w:val="none" w:sz="0" w:space="0" w:color="auto"/>
        <w:left w:val="none" w:sz="0" w:space="0" w:color="auto"/>
        <w:bottom w:val="none" w:sz="0" w:space="0" w:color="auto"/>
        <w:right w:val="none" w:sz="0" w:space="0" w:color="auto"/>
      </w:divBdr>
    </w:div>
    <w:div w:id="693768397">
      <w:marLeft w:val="0"/>
      <w:marRight w:val="0"/>
      <w:marTop w:val="0"/>
      <w:marBottom w:val="0"/>
      <w:divBdr>
        <w:top w:val="none" w:sz="0" w:space="0" w:color="auto"/>
        <w:left w:val="none" w:sz="0" w:space="0" w:color="auto"/>
        <w:bottom w:val="none" w:sz="0" w:space="0" w:color="auto"/>
        <w:right w:val="none" w:sz="0" w:space="0" w:color="auto"/>
      </w:divBdr>
    </w:div>
    <w:div w:id="703679096">
      <w:marLeft w:val="0"/>
      <w:marRight w:val="0"/>
      <w:marTop w:val="0"/>
      <w:marBottom w:val="0"/>
      <w:divBdr>
        <w:top w:val="none" w:sz="0" w:space="0" w:color="auto"/>
        <w:left w:val="none" w:sz="0" w:space="0" w:color="auto"/>
        <w:bottom w:val="none" w:sz="0" w:space="0" w:color="auto"/>
        <w:right w:val="none" w:sz="0" w:space="0" w:color="auto"/>
      </w:divBdr>
      <w:divsChild>
        <w:div w:id="251134287">
          <w:marLeft w:val="0"/>
          <w:marRight w:val="0"/>
          <w:marTop w:val="0"/>
          <w:marBottom w:val="0"/>
          <w:divBdr>
            <w:top w:val="none" w:sz="0" w:space="0" w:color="auto"/>
            <w:left w:val="none" w:sz="0" w:space="0" w:color="auto"/>
            <w:bottom w:val="none" w:sz="0" w:space="0" w:color="auto"/>
            <w:right w:val="none" w:sz="0" w:space="0" w:color="auto"/>
          </w:divBdr>
        </w:div>
      </w:divsChild>
    </w:div>
    <w:div w:id="706024445">
      <w:marLeft w:val="0"/>
      <w:marRight w:val="0"/>
      <w:marTop w:val="100"/>
      <w:marBottom w:val="0"/>
      <w:divBdr>
        <w:top w:val="none" w:sz="0" w:space="0" w:color="auto"/>
        <w:left w:val="none" w:sz="0" w:space="0" w:color="auto"/>
        <w:bottom w:val="none" w:sz="0" w:space="0" w:color="auto"/>
        <w:right w:val="none" w:sz="0" w:space="0" w:color="auto"/>
      </w:divBdr>
    </w:div>
    <w:div w:id="708260493">
      <w:marLeft w:val="0"/>
      <w:marRight w:val="0"/>
      <w:marTop w:val="100"/>
      <w:marBottom w:val="0"/>
      <w:divBdr>
        <w:top w:val="none" w:sz="0" w:space="0" w:color="auto"/>
        <w:left w:val="none" w:sz="0" w:space="0" w:color="auto"/>
        <w:bottom w:val="none" w:sz="0" w:space="0" w:color="auto"/>
        <w:right w:val="none" w:sz="0" w:space="0" w:color="auto"/>
      </w:divBdr>
    </w:div>
    <w:div w:id="717821725">
      <w:marLeft w:val="0"/>
      <w:marRight w:val="0"/>
      <w:marTop w:val="100"/>
      <w:marBottom w:val="0"/>
      <w:divBdr>
        <w:top w:val="none" w:sz="0" w:space="0" w:color="auto"/>
        <w:left w:val="none" w:sz="0" w:space="0" w:color="auto"/>
        <w:bottom w:val="none" w:sz="0" w:space="0" w:color="auto"/>
        <w:right w:val="none" w:sz="0" w:space="0" w:color="auto"/>
      </w:divBdr>
    </w:div>
    <w:div w:id="719789919">
      <w:marLeft w:val="0"/>
      <w:marRight w:val="0"/>
      <w:marTop w:val="100"/>
      <w:marBottom w:val="0"/>
      <w:divBdr>
        <w:top w:val="none" w:sz="0" w:space="0" w:color="auto"/>
        <w:left w:val="none" w:sz="0" w:space="0" w:color="auto"/>
        <w:bottom w:val="none" w:sz="0" w:space="0" w:color="auto"/>
        <w:right w:val="none" w:sz="0" w:space="0" w:color="auto"/>
      </w:divBdr>
    </w:div>
    <w:div w:id="729882402">
      <w:marLeft w:val="0"/>
      <w:marRight w:val="0"/>
      <w:marTop w:val="280"/>
      <w:marBottom w:val="0"/>
      <w:divBdr>
        <w:top w:val="none" w:sz="0" w:space="0" w:color="auto"/>
        <w:left w:val="none" w:sz="0" w:space="0" w:color="auto"/>
        <w:bottom w:val="none" w:sz="0" w:space="0" w:color="auto"/>
        <w:right w:val="none" w:sz="0" w:space="0" w:color="auto"/>
      </w:divBdr>
    </w:div>
    <w:div w:id="732387841">
      <w:marLeft w:val="0"/>
      <w:marRight w:val="0"/>
      <w:marTop w:val="280"/>
      <w:marBottom w:val="0"/>
      <w:divBdr>
        <w:top w:val="none" w:sz="0" w:space="0" w:color="auto"/>
        <w:left w:val="none" w:sz="0" w:space="0" w:color="auto"/>
        <w:bottom w:val="none" w:sz="0" w:space="0" w:color="auto"/>
        <w:right w:val="none" w:sz="0" w:space="0" w:color="auto"/>
      </w:divBdr>
    </w:div>
    <w:div w:id="733314068">
      <w:marLeft w:val="0"/>
      <w:marRight w:val="0"/>
      <w:marTop w:val="280"/>
      <w:marBottom w:val="0"/>
      <w:divBdr>
        <w:top w:val="none" w:sz="0" w:space="0" w:color="auto"/>
        <w:left w:val="none" w:sz="0" w:space="0" w:color="auto"/>
        <w:bottom w:val="none" w:sz="0" w:space="0" w:color="auto"/>
        <w:right w:val="none" w:sz="0" w:space="0" w:color="auto"/>
      </w:divBdr>
    </w:div>
    <w:div w:id="746927636">
      <w:marLeft w:val="0"/>
      <w:marRight w:val="0"/>
      <w:marTop w:val="40"/>
      <w:marBottom w:val="0"/>
      <w:divBdr>
        <w:top w:val="none" w:sz="0" w:space="0" w:color="auto"/>
        <w:left w:val="none" w:sz="0" w:space="0" w:color="auto"/>
        <w:bottom w:val="none" w:sz="0" w:space="0" w:color="auto"/>
        <w:right w:val="none" w:sz="0" w:space="0" w:color="auto"/>
      </w:divBdr>
    </w:div>
    <w:div w:id="760569099">
      <w:marLeft w:val="0"/>
      <w:marRight w:val="0"/>
      <w:marTop w:val="100"/>
      <w:marBottom w:val="100"/>
      <w:divBdr>
        <w:top w:val="none" w:sz="0" w:space="0" w:color="auto"/>
        <w:left w:val="none" w:sz="0" w:space="0" w:color="auto"/>
        <w:bottom w:val="none" w:sz="0" w:space="0" w:color="auto"/>
        <w:right w:val="none" w:sz="0" w:space="0" w:color="auto"/>
      </w:divBdr>
    </w:div>
    <w:div w:id="764493868">
      <w:marLeft w:val="0"/>
      <w:marRight w:val="0"/>
      <w:marTop w:val="0"/>
      <w:marBottom w:val="0"/>
      <w:divBdr>
        <w:top w:val="none" w:sz="0" w:space="0" w:color="auto"/>
        <w:left w:val="none" w:sz="0" w:space="0" w:color="auto"/>
        <w:bottom w:val="none" w:sz="0" w:space="0" w:color="auto"/>
        <w:right w:val="none" w:sz="0" w:space="0" w:color="auto"/>
      </w:divBdr>
      <w:divsChild>
        <w:div w:id="1008798295">
          <w:marLeft w:val="0"/>
          <w:marRight w:val="0"/>
          <w:marTop w:val="0"/>
          <w:marBottom w:val="0"/>
          <w:divBdr>
            <w:top w:val="none" w:sz="0" w:space="0" w:color="auto"/>
            <w:left w:val="none" w:sz="0" w:space="0" w:color="auto"/>
            <w:bottom w:val="none" w:sz="0" w:space="0" w:color="auto"/>
            <w:right w:val="none" w:sz="0" w:space="0" w:color="auto"/>
          </w:divBdr>
        </w:div>
      </w:divsChild>
    </w:div>
    <w:div w:id="771366288">
      <w:marLeft w:val="0"/>
      <w:marRight w:val="0"/>
      <w:marTop w:val="100"/>
      <w:marBottom w:val="0"/>
      <w:divBdr>
        <w:top w:val="none" w:sz="0" w:space="0" w:color="auto"/>
        <w:left w:val="none" w:sz="0" w:space="0" w:color="auto"/>
        <w:bottom w:val="none" w:sz="0" w:space="0" w:color="auto"/>
        <w:right w:val="none" w:sz="0" w:space="0" w:color="auto"/>
      </w:divBdr>
    </w:div>
    <w:div w:id="774060454">
      <w:marLeft w:val="0"/>
      <w:marRight w:val="0"/>
      <w:marTop w:val="0"/>
      <w:marBottom w:val="0"/>
      <w:divBdr>
        <w:top w:val="none" w:sz="0" w:space="0" w:color="auto"/>
        <w:left w:val="none" w:sz="0" w:space="0" w:color="auto"/>
        <w:bottom w:val="none" w:sz="0" w:space="0" w:color="auto"/>
        <w:right w:val="none" w:sz="0" w:space="0" w:color="auto"/>
      </w:divBdr>
      <w:divsChild>
        <w:div w:id="1382317072">
          <w:marLeft w:val="0"/>
          <w:marRight w:val="0"/>
          <w:marTop w:val="0"/>
          <w:marBottom w:val="0"/>
          <w:divBdr>
            <w:top w:val="none" w:sz="0" w:space="0" w:color="auto"/>
            <w:left w:val="none" w:sz="0" w:space="0" w:color="auto"/>
            <w:bottom w:val="none" w:sz="0" w:space="0" w:color="auto"/>
            <w:right w:val="none" w:sz="0" w:space="0" w:color="auto"/>
          </w:divBdr>
        </w:div>
      </w:divsChild>
    </w:div>
    <w:div w:id="776828510">
      <w:marLeft w:val="0"/>
      <w:marRight w:val="0"/>
      <w:marTop w:val="100"/>
      <w:marBottom w:val="0"/>
      <w:divBdr>
        <w:top w:val="none" w:sz="0" w:space="0" w:color="auto"/>
        <w:left w:val="none" w:sz="0" w:space="0" w:color="auto"/>
        <w:bottom w:val="none" w:sz="0" w:space="0" w:color="auto"/>
        <w:right w:val="none" w:sz="0" w:space="0" w:color="auto"/>
      </w:divBdr>
      <w:divsChild>
        <w:div w:id="14116263">
          <w:marLeft w:val="0"/>
          <w:marRight w:val="0"/>
          <w:marTop w:val="0"/>
          <w:marBottom w:val="0"/>
          <w:divBdr>
            <w:top w:val="none" w:sz="0" w:space="0" w:color="auto"/>
            <w:left w:val="none" w:sz="0" w:space="0" w:color="auto"/>
            <w:bottom w:val="none" w:sz="0" w:space="0" w:color="auto"/>
            <w:right w:val="none" w:sz="0" w:space="0" w:color="auto"/>
          </w:divBdr>
        </w:div>
      </w:divsChild>
    </w:div>
    <w:div w:id="779033505">
      <w:marLeft w:val="0"/>
      <w:marRight w:val="0"/>
      <w:marTop w:val="280"/>
      <w:marBottom w:val="0"/>
      <w:divBdr>
        <w:top w:val="none" w:sz="0" w:space="0" w:color="auto"/>
        <w:left w:val="none" w:sz="0" w:space="0" w:color="auto"/>
        <w:bottom w:val="none" w:sz="0" w:space="0" w:color="auto"/>
        <w:right w:val="none" w:sz="0" w:space="0" w:color="auto"/>
      </w:divBdr>
    </w:div>
    <w:div w:id="781728444">
      <w:marLeft w:val="0"/>
      <w:marRight w:val="0"/>
      <w:marTop w:val="100"/>
      <w:marBottom w:val="0"/>
      <w:divBdr>
        <w:top w:val="none" w:sz="0" w:space="0" w:color="auto"/>
        <w:left w:val="none" w:sz="0" w:space="0" w:color="auto"/>
        <w:bottom w:val="none" w:sz="0" w:space="0" w:color="auto"/>
        <w:right w:val="none" w:sz="0" w:space="0" w:color="auto"/>
      </w:divBdr>
    </w:div>
    <w:div w:id="788668657">
      <w:marLeft w:val="0"/>
      <w:marRight w:val="0"/>
      <w:marTop w:val="100"/>
      <w:marBottom w:val="0"/>
      <w:divBdr>
        <w:top w:val="none" w:sz="0" w:space="0" w:color="auto"/>
        <w:left w:val="none" w:sz="0" w:space="0" w:color="auto"/>
        <w:bottom w:val="none" w:sz="0" w:space="0" w:color="auto"/>
        <w:right w:val="none" w:sz="0" w:space="0" w:color="auto"/>
      </w:divBdr>
    </w:div>
    <w:div w:id="789250472">
      <w:marLeft w:val="0"/>
      <w:marRight w:val="0"/>
      <w:marTop w:val="0"/>
      <w:marBottom w:val="0"/>
      <w:divBdr>
        <w:top w:val="none" w:sz="0" w:space="0" w:color="auto"/>
        <w:left w:val="none" w:sz="0" w:space="0" w:color="auto"/>
        <w:bottom w:val="none" w:sz="0" w:space="0" w:color="auto"/>
        <w:right w:val="none" w:sz="0" w:space="0" w:color="auto"/>
      </w:divBdr>
    </w:div>
    <w:div w:id="793326734">
      <w:marLeft w:val="0"/>
      <w:marRight w:val="0"/>
      <w:marTop w:val="100"/>
      <w:marBottom w:val="0"/>
      <w:divBdr>
        <w:top w:val="none" w:sz="0" w:space="0" w:color="auto"/>
        <w:left w:val="none" w:sz="0" w:space="0" w:color="auto"/>
        <w:bottom w:val="none" w:sz="0" w:space="0" w:color="auto"/>
        <w:right w:val="none" w:sz="0" w:space="0" w:color="auto"/>
      </w:divBdr>
    </w:div>
    <w:div w:id="794253772">
      <w:marLeft w:val="0"/>
      <w:marRight w:val="0"/>
      <w:marTop w:val="100"/>
      <w:marBottom w:val="100"/>
      <w:divBdr>
        <w:top w:val="none" w:sz="0" w:space="0" w:color="auto"/>
        <w:left w:val="none" w:sz="0" w:space="0" w:color="auto"/>
        <w:bottom w:val="none" w:sz="0" w:space="0" w:color="auto"/>
        <w:right w:val="none" w:sz="0" w:space="0" w:color="auto"/>
      </w:divBdr>
    </w:div>
    <w:div w:id="794833989">
      <w:marLeft w:val="0"/>
      <w:marRight w:val="0"/>
      <w:marTop w:val="280"/>
      <w:marBottom w:val="0"/>
      <w:divBdr>
        <w:top w:val="none" w:sz="0" w:space="0" w:color="auto"/>
        <w:left w:val="none" w:sz="0" w:space="0" w:color="auto"/>
        <w:bottom w:val="none" w:sz="0" w:space="0" w:color="auto"/>
        <w:right w:val="none" w:sz="0" w:space="0" w:color="auto"/>
      </w:divBdr>
    </w:div>
    <w:div w:id="797727328">
      <w:marLeft w:val="0"/>
      <w:marRight w:val="0"/>
      <w:marTop w:val="280"/>
      <w:marBottom w:val="0"/>
      <w:divBdr>
        <w:top w:val="none" w:sz="0" w:space="0" w:color="auto"/>
        <w:left w:val="none" w:sz="0" w:space="0" w:color="auto"/>
        <w:bottom w:val="none" w:sz="0" w:space="0" w:color="auto"/>
        <w:right w:val="none" w:sz="0" w:space="0" w:color="auto"/>
      </w:divBdr>
    </w:div>
    <w:div w:id="799423084">
      <w:marLeft w:val="0"/>
      <w:marRight w:val="0"/>
      <w:marTop w:val="0"/>
      <w:marBottom w:val="100"/>
      <w:divBdr>
        <w:top w:val="none" w:sz="0" w:space="0" w:color="auto"/>
        <w:left w:val="none" w:sz="0" w:space="0" w:color="auto"/>
        <w:bottom w:val="none" w:sz="0" w:space="0" w:color="auto"/>
        <w:right w:val="none" w:sz="0" w:space="0" w:color="auto"/>
      </w:divBdr>
    </w:div>
    <w:div w:id="804933180">
      <w:marLeft w:val="0"/>
      <w:marRight w:val="0"/>
      <w:marTop w:val="100"/>
      <w:marBottom w:val="0"/>
      <w:divBdr>
        <w:top w:val="none" w:sz="0" w:space="0" w:color="auto"/>
        <w:left w:val="none" w:sz="0" w:space="0" w:color="auto"/>
        <w:bottom w:val="none" w:sz="0" w:space="0" w:color="auto"/>
        <w:right w:val="none" w:sz="0" w:space="0" w:color="auto"/>
      </w:divBdr>
    </w:div>
    <w:div w:id="809008815">
      <w:marLeft w:val="0"/>
      <w:marRight w:val="0"/>
      <w:marTop w:val="280"/>
      <w:marBottom w:val="0"/>
      <w:divBdr>
        <w:top w:val="none" w:sz="0" w:space="0" w:color="auto"/>
        <w:left w:val="none" w:sz="0" w:space="0" w:color="auto"/>
        <w:bottom w:val="none" w:sz="0" w:space="0" w:color="auto"/>
        <w:right w:val="none" w:sz="0" w:space="0" w:color="auto"/>
      </w:divBdr>
    </w:div>
    <w:div w:id="811873036">
      <w:marLeft w:val="0"/>
      <w:marRight w:val="0"/>
      <w:marTop w:val="60"/>
      <w:marBottom w:val="0"/>
      <w:divBdr>
        <w:top w:val="none" w:sz="0" w:space="0" w:color="auto"/>
        <w:left w:val="none" w:sz="0" w:space="0" w:color="auto"/>
        <w:bottom w:val="none" w:sz="0" w:space="0" w:color="auto"/>
        <w:right w:val="none" w:sz="0" w:space="0" w:color="auto"/>
      </w:divBdr>
    </w:div>
    <w:div w:id="815411645">
      <w:marLeft w:val="0"/>
      <w:marRight w:val="0"/>
      <w:marTop w:val="0"/>
      <w:marBottom w:val="0"/>
      <w:divBdr>
        <w:top w:val="none" w:sz="0" w:space="0" w:color="auto"/>
        <w:left w:val="none" w:sz="0" w:space="0" w:color="auto"/>
        <w:bottom w:val="none" w:sz="0" w:space="0" w:color="auto"/>
        <w:right w:val="none" w:sz="0" w:space="0" w:color="auto"/>
      </w:divBdr>
    </w:div>
    <w:div w:id="819930483">
      <w:marLeft w:val="0"/>
      <w:marRight w:val="0"/>
      <w:marTop w:val="0"/>
      <w:marBottom w:val="0"/>
      <w:divBdr>
        <w:top w:val="none" w:sz="0" w:space="0" w:color="auto"/>
        <w:left w:val="none" w:sz="0" w:space="0" w:color="auto"/>
        <w:bottom w:val="none" w:sz="0" w:space="0" w:color="auto"/>
        <w:right w:val="none" w:sz="0" w:space="0" w:color="auto"/>
      </w:divBdr>
      <w:divsChild>
        <w:div w:id="173300717">
          <w:marLeft w:val="0"/>
          <w:marRight w:val="0"/>
          <w:marTop w:val="0"/>
          <w:marBottom w:val="0"/>
          <w:divBdr>
            <w:top w:val="none" w:sz="0" w:space="0" w:color="auto"/>
            <w:left w:val="none" w:sz="0" w:space="0" w:color="auto"/>
            <w:bottom w:val="none" w:sz="0" w:space="0" w:color="auto"/>
            <w:right w:val="none" w:sz="0" w:space="0" w:color="auto"/>
          </w:divBdr>
        </w:div>
      </w:divsChild>
    </w:div>
    <w:div w:id="825779352">
      <w:marLeft w:val="0"/>
      <w:marRight w:val="0"/>
      <w:marTop w:val="100"/>
      <w:marBottom w:val="0"/>
      <w:divBdr>
        <w:top w:val="none" w:sz="0" w:space="0" w:color="auto"/>
        <w:left w:val="none" w:sz="0" w:space="0" w:color="auto"/>
        <w:bottom w:val="none" w:sz="0" w:space="0" w:color="auto"/>
        <w:right w:val="none" w:sz="0" w:space="0" w:color="auto"/>
      </w:divBdr>
    </w:div>
    <w:div w:id="826018413">
      <w:marLeft w:val="0"/>
      <w:marRight w:val="0"/>
      <w:marTop w:val="60"/>
      <w:marBottom w:val="0"/>
      <w:divBdr>
        <w:top w:val="none" w:sz="0" w:space="0" w:color="auto"/>
        <w:left w:val="none" w:sz="0" w:space="0" w:color="auto"/>
        <w:bottom w:val="none" w:sz="0" w:space="0" w:color="auto"/>
        <w:right w:val="none" w:sz="0" w:space="0" w:color="auto"/>
      </w:divBdr>
    </w:div>
    <w:div w:id="828055681">
      <w:marLeft w:val="0"/>
      <w:marRight w:val="0"/>
      <w:marTop w:val="0"/>
      <w:marBottom w:val="0"/>
      <w:divBdr>
        <w:top w:val="none" w:sz="0" w:space="0" w:color="auto"/>
        <w:left w:val="none" w:sz="0" w:space="0" w:color="auto"/>
        <w:bottom w:val="none" w:sz="0" w:space="0" w:color="auto"/>
        <w:right w:val="none" w:sz="0" w:space="0" w:color="auto"/>
      </w:divBdr>
    </w:div>
    <w:div w:id="828247839">
      <w:marLeft w:val="0"/>
      <w:marRight w:val="0"/>
      <w:marTop w:val="100"/>
      <w:marBottom w:val="0"/>
      <w:divBdr>
        <w:top w:val="none" w:sz="0" w:space="0" w:color="auto"/>
        <w:left w:val="none" w:sz="0" w:space="0" w:color="auto"/>
        <w:bottom w:val="none" w:sz="0" w:space="0" w:color="auto"/>
        <w:right w:val="none" w:sz="0" w:space="0" w:color="auto"/>
      </w:divBdr>
    </w:div>
    <w:div w:id="829633906">
      <w:marLeft w:val="0"/>
      <w:marRight w:val="0"/>
      <w:marTop w:val="280"/>
      <w:marBottom w:val="0"/>
      <w:divBdr>
        <w:top w:val="none" w:sz="0" w:space="0" w:color="auto"/>
        <w:left w:val="none" w:sz="0" w:space="0" w:color="auto"/>
        <w:bottom w:val="none" w:sz="0" w:space="0" w:color="auto"/>
        <w:right w:val="none" w:sz="0" w:space="0" w:color="auto"/>
      </w:divBdr>
    </w:div>
    <w:div w:id="836505199">
      <w:marLeft w:val="0"/>
      <w:marRight w:val="0"/>
      <w:marTop w:val="60"/>
      <w:marBottom w:val="0"/>
      <w:divBdr>
        <w:top w:val="none" w:sz="0" w:space="0" w:color="auto"/>
        <w:left w:val="none" w:sz="0" w:space="0" w:color="auto"/>
        <w:bottom w:val="none" w:sz="0" w:space="0" w:color="auto"/>
        <w:right w:val="none" w:sz="0" w:space="0" w:color="auto"/>
      </w:divBdr>
    </w:div>
    <w:div w:id="836531644">
      <w:marLeft w:val="0"/>
      <w:marRight w:val="0"/>
      <w:marTop w:val="0"/>
      <w:marBottom w:val="0"/>
      <w:divBdr>
        <w:top w:val="none" w:sz="0" w:space="0" w:color="auto"/>
        <w:left w:val="none" w:sz="0" w:space="0" w:color="auto"/>
        <w:bottom w:val="none" w:sz="0" w:space="0" w:color="auto"/>
        <w:right w:val="none" w:sz="0" w:space="0" w:color="auto"/>
      </w:divBdr>
    </w:div>
    <w:div w:id="847713050">
      <w:marLeft w:val="0"/>
      <w:marRight w:val="0"/>
      <w:marTop w:val="100"/>
      <w:marBottom w:val="0"/>
      <w:divBdr>
        <w:top w:val="none" w:sz="0" w:space="0" w:color="auto"/>
        <w:left w:val="none" w:sz="0" w:space="0" w:color="auto"/>
        <w:bottom w:val="none" w:sz="0" w:space="0" w:color="auto"/>
        <w:right w:val="none" w:sz="0" w:space="0" w:color="auto"/>
      </w:divBdr>
    </w:div>
    <w:div w:id="849880493">
      <w:marLeft w:val="0"/>
      <w:marRight w:val="0"/>
      <w:marTop w:val="40"/>
      <w:marBottom w:val="0"/>
      <w:divBdr>
        <w:top w:val="none" w:sz="0" w:space="0" w:color="auto"/>
        <w:left w:val="none" w:sz="0" w:space="0" w:color="auto"/>
        <w:bottom w:val="none" w:sz="0" w:space="0" w:color="auto"/>
        <w:right w:val="none" w:sz="0" w:space="0" w:color="auto"/>
      </w:divBdr>
    </w:div>
    <w:div w:id="852843218">
      <w:marLeft w:val="0"/>
      <w:marRight w:val="0"/>
      <w:marTop w:val="40"/>
      <w:marBottom w:val="0"/>
      <w:divBdr>
        <w:top w:val="none" w:sz="0" w:space="0" w:color="auto"/>
        <w:left w:val="none" w:sz="0" w:space="0" w:color="auto"/>
        <w:bottom w:val="none" w:sz="0" w:space="0" w:color="auto"/>
        <w:right w:val="none" w:sz="0" w:space="0" w:color="auto"/>
      </w:divBdr>
    </w:div>
    <w:div w:id="858201467">
      <w:marLeft w:val="0"/>
      <w:marRight w:val="0"/>
      <w:marTop w:val="100"/>
      <w:marBottom w:val="0"/>
      <w:divBdr>
        <w:top w:val="none" w:sz="0" w:space="0" w:color="auto"/>
        <w:left w:val="none" w:sz="0" w:space="0" w:color="auto"/>
        <w:bottom w:val="none" w:sz="0" w:space="0" w:color="auto"/>
        <w:right w:val="none" w:sz="0" w:space="0" w:color="auto"/>
      </w:divBdr>
    </w:div>
    <w:div w:id="859439941">
      <w:marLeft w:val="0"/>
      <w:marRight w:val="0"/>
      <w:marTop w:val="60"/>
      <w:marBottom w:val="0"/>
      <w:divBdr>
        <w:top w:val="none" w:sz="0" w:space="0" w:color="auto"/>
        <w:left w:val="none" w:sz="0" w:space="0" w:color="auto"/>
        <w:bottom w:val="none" w:sz="0" w:space="0" w:color="auto"/>
        <w:right w:val="none" w:sz="0" w:space="0" w:color="auto"/>
      </w:divBdr>
    </w:div>
    <w:div w:id="863322884">
      <w:marLeft w:val="0"/>
      <w:marRight w:val="0"/>
      <w:marTop w:val="40"/>
      <w:marBottom w:val="0"/>
      <w:divBdr>
        <w:top w:val="none" w:sz="0" w:space="0" w:color="auto"/>
        <w:left w:val="none" w:sz="0" w:space="0" w:color="auto"/>
        <w:bottom w:val="none" w:sz="0" w:space="0" w:color="auto"/>
        <w:right w:val="none" w:sz="0" w:space="0" w:color="auto"/>
      </w:divBdr>
    </w:div>
    <w:div w:id="868445949">
      <w:marLeft w:val="0"/>
      <w:marRight w:val="0"/>
      <w:marTop w:val="100"/>
      <w:marBottom w:val="0"/>
      <w:divBdr>
        <w:top w:val="none" w:sz="0" w:space="0" w:color="auto"/>
        <w:left w:val="none" w:sz="0" w:space="0" w:color="auto"/>
        <w:bottom w:val="none" w:sz="0" w:space="0" w:color="auto"/>
        <w:right w:val="none" w:sz="0" w:space="0" w:color="auto"/>
      </w:divBdr>
    </w:div>
    <w:div w:id="869417944">
      <w:marLeft w:val="0"/>
      <w:marRight w:val="0"/>
      <w:marTop w:val="100"/>
      <w:marBottom w:val="0"/>
      <w:divBdr>
        <w:top w:val="none" w:sz="0" w:space="0" w:color="auto"/>
        <w:left w:val="none" w:sz="0" w:space="0" w:color="auto"/>
        <w:bottom w:val="none" w:sz="0" w:space="0" w:color="auto"/>
        <w:right w:val="none" w:sz="0" w:space="0" w:color="auto"/>
      </w:divBdr>
    </w:div>
    <w:div w:id="880827378">
      <w:marLeft w:val="0"/>
      <w:marRight w:val="0"/>
      <w:marTop w:val="100"/>
      <w:marBottom w:val="0"/>
      <w:divBdr>
        <w:top w:val="none" w:sz="0" w:space="0" w:color="auto"/>
        <w:left w:val="none" w:sz="0" w:space="0" w:color="auto"/>
        <w:bottom w:val="none" w:sz="0" w:space="0" w:color="auto"/>
        <w:right w:val="none" w:sz="0" w:space="0" w:color="auto"/>
      </w:divBdr>
    </w:div>
    <w:div w:id="891501865">
      <w:marLeft w:val="0"/>
      <w:marRight w:val="0"/>
      <w:marTop w:val="280"/>
      <w:marBottom w:val="0"/>
      <w:divBdr>
        <w:top w:val="none" w:sz="0" w:space="0" w:color="auto"/>
        <w:left w:val="none" w:sz="0" w:space="0" w:color="auto"/>
        <w:bottom w:val="none" w:sz="0" w:space="0" w:color="auto"/>
        <w:right w:val="none" w:sz="0" w:space="0" w:color="auto"/>
      </w:divBdr>
    </w:div>
    <w:div w:id="901603807">
      <w:marLeft w:val="0"/>
      <w:marRight w:val="0"/>
      <w:marTop w:val="280"/>
      <w:marBottom w:val="0"/>
      <w:divBdr>
        <w:top w:val="none" w:sz="0" w:space="0" w:color="auto"/>
        <w:left w:val="none" w:sz="0" w:space="0" w:color="auto"/>
        <w:bottom w:val="none" w:sz="0" w:space="0" w:color="auto"/>
        <w:right w:val="none" w:sz="0" w:space="0" w:color="auto"/>
      </w:divBdr>
    </w:div>
    <w:div w:id="905266303">
      <w:marLeft w:val="0"/>
      <w:marRight w:val="0"/>
      <w:marTop w:val="100"/>
      <w:marBottom w:val="100"/>
      <w:divBdr>
        <w:top w:val="none" w:sz="0" w:space="0" w:color="auto"/>
        <w:left w:val="none" w:sz="0" w:space="0" w:color="auto"/>
        <w:bottom w:val="none" w:sz="0" w:space="0" w:color="auto"/>
        <w:right w:val="none" w:sz="0" w:space="0" w:color="auto"/>
      </w:divBdr>
      <w:divsChild>
        <w:div w:id="918948681">
          <w:marLeft w:val="0"/>
          <w:marRight w:val="0"/>
          <w:marTop w:val="0"/>
          <w:marBottom w:val="0"/>
          <w:divBdr>
            <w:top w:val="none" w:sz="0" w:space="0" w:color="auto"/>
            <w:left w:val="none" w:sz="0" w:space="0" w:color="auto"/>
            <w:bottom w:val="none" w:sz="0" w:space="0" w:color="auto"/>
            <w:right w:val="none" w:sz="0" w:space="0" w:color="auto"/>
          </w:divBdr>
        </w:div>
      </w:divsChild>
    </w:div>
    <w:div w:id="913709467">
      <w:marLeft w:val="0"/>
      <w:marRight w:val="0"/>
      <w:marTop w:val="280"/>
      <w:marBottom w:val="100"/>
      <w:divBdr>
        <w:top w:val="none" w:sz="0" w:space="0" w:color="auto"/>
        <w:left w:val="none" w:sz="0" w:space="0" w:color="auto"/>
        <w:bottom w:val="none" w:sz="0" w:space="0" w:color="auto"/>
        <w:right w:val="none" w:sz="0" w:space="0" w:color="auto"/>
      </w:divBdr>
      <w:divsChild>
        <w:div w:id="1169639013">
          <w:marLeft w:val="0"/>
          <w:marRight w:val="0"/>
          <w:marTop w:val="0"/>
          <w:marBottom w:val="0"/>
          <w:divBdr>
            <w:top w:val="none" w:sz="0" w:space="0" w:color="auto"/>
            <w:left w:val="none" w:sz="0" w:space="0" w:color="auto"/>
            <w:bottom w:val="none" w:sz="0" w:space="0" w:color="auto"/>
            <w:right w:val="none" w:sz="0" w:space="0" w:color="auto"/>
          </w:divBdr>
        </w:div>
        <w:div w:id="756249589">
          <w:marLeft w:val="0"/>
          <w:marRight w:val="0"/>
          <w:marTop w:val="0"/>
          <w:marBottom w:val="0"/>
          <w:divBdr>
            <w:top w:val="none" w:sz="0" w:space="0" w:color="auto"/>
            <w:left w:val="none" w:sz="0" w:space="0" w:color="auto"/>
            <w:bottom w:val="none" w:sz="0" w:space="0" w:color="auto"/>
            <w:right w:val="none" w:sz="0" w:space="0" w:color="auto"/>
          </w:divBdr>
        </w:div>
        <w:div w:id="931015140">
          <w:marLeft w:val="0"/>
          <w:marRight w:val="0"/>
          <w:marTop w:val="0"/>
          <w:marBottom w:val="0"/>
          <w:divBdr>
            <w:top w:val="none" w:sz="0" w:space="0" w:color="auto"/>
            <w:left w:val="none" w:sz="0" w:space="0" w:color="auto"/>
            <w:bottom w:val="none" w:sz="0" w:space="0" w:color="auto"/>
            <w:right w:val="none" w:sz="0" w:space="0" w:color="auto"/>
          </w:divBdr>
        </w:div>
        <w:div w:id="497427959">
          <w:marLeft w:val="0"/>
          <w:marRight w:val="0"/>
          <w:marTop w:val="0"/>
          <w:marBottom w:val="0"/>
          <w:divBdr>
            <w:top w:val="none" w:sz="0" w:space="0" w:color="auto"/>
            <w:left w:val="none" w:sz="0" w:space="0" w:color="auto"/>
            <w:bottom w:val="none" w:sz="0" w:space="0" w:color="auto"/>
            <w:right w:val="none" w:sz="0" w:space="0" w:color="auto"/>
          </w:divBdr>
        </w:div>
        <w:div w:id="2040161068">
          <w:marLeft w:val="0"/>
          <w:marRight w:val="0"/>
          <w:marTop w:val="0"/>
          <w:marBottom w:val="0"/>
          <w:divBdr>
            <w:top w:val="none" w:sz="0" w:space="0" w:color="auto"/>
            <w:left w:val="none" w:sz="0" w:space="0" w:color="auto"/>
            <w:bottom w:val="none" w:sz="0" w:space="0" w:color="auto"/>
            <w:right w:val="none" w:sz="0" w:space="0" w:color="auto"/>
          </w:divBdr>
        </w:div>
        <w:div w:id="767583955">
          <w:marLeft w:val="0"/>
          <w:marRight w:val="0"/>
          <w:marTop w:val="0"/>
          <w:marBottom w:val="0"/>
          <w:divBdr>
            <w:top w:val="none" w:sz="0" w:space="0" w:color="auto"/>
            <w:left w:val="none" w:sz="0" w:space="0" w:color="auto"/>
            <w:bottom w:val="none" w:sz="0" w:space="0" w:color="auto"/>
            <w:right w:val="none" w:sz="0" w:space="0" w:color="auto"/>
          </w:divBdr>
        </w:div>
        <w:div w:id="1148671639">
          <w:marLeft w:val="0"/>
          <w:marRight w:val="0"/>
          <w:marTop w:val="0"/>
          <w:marBottom w:val="0"/>
          <w:divBdr>
            <w:top w:val="none" w:sz="0" w:space="0" w:color="auto"/>
            <w:left w:val="none" w:sz="0" w:space="0" w:color="auto"/>
            <w:bottom w:val="none" w:sz="0" w:space="0" w:color="auto"/>
            <w:right w:val="none" w:sz="0" w:space="0" w:color="auto"/>
          </w:divBdr>
        </w:div>
        <w:div w:id="1851868900">
          <w:marLeft w:val="0"/>
          <w:marRight w:val="0"/>
          <w:marTop w:val="0"/>
          <w:marBottom w:val="0"/>
          <w:divBdr>
            <w:top w:val="none" w:sz="0" w:space="0" w:color="auto"/>
            <w:left w:val="none" w:sz="0" w:space="0" w:color="auto"/>
            <w:bottom w:val="none" w:sz="0" w:space="0" w:color="auto"/>
            <w:right w:val="none" w:sz="0" w:space="0" w:color="auto"/>
          </w:divBdr>
        </w:div>
        <w:div w:id="1043091569">
          <w:marLeft w:val="0"/>
          <w:marRight w:val="0"/>
          <w:marTop w:val="0"/>
          <w:marBottom w:val="0"/>
          <w:divBdr>
            <w:top w:val="none" w:sz="0" w:space="0" w:color="auto"/>
            <w:left w:val="none" w:sz="0" w:space="0" w:color="auto"/>
            <w:bottom w:val="none" w:sz="0" w:space="0" w:color="auto"/>
            <w:right w:val="none" w:sz="0" w:space="0" w:color="auto"/>
          </w:divBdr>
        </w:div>
        <w:div w:id="799615947">
          <w:marLeft w:val="0"/>
          <w:marRight w:val="0"/>
          <w:marTop w:val="0"/>
          <w:marBottom w:val="0"/>
          <w:divBdr>
            <w:top w:val="none" w:sz="0" w:space="0" w:color="auto"/>
            <w:left w:val="none" w:sz="0" w:space="0" w:color="auto"/>
            <w:bottom w:val="none" w:sz="0" w:space="0" w:color="auto"/>
            <w:right w:val="none" w:sz="0" w:space="0" w:color="auto"/>
          </w:divBdr>
        </w:div>
        <w:div w:id="434255064">
          <w:marLeft w:val="0"/>
          <w:marRight w:val="0"/>
          <w:marTop w:val="0"/>
          <w:marBottom w:val="0"/>
          <w:divBdr>
            <w:top w:val="none" w:sz="0" w:space="0" w:color="auto"/>
            <w:left w:val="none" w:sz="0" w:space="0" w:color="auto"/>
            <w:bottom w:val="none" w:sz="0" w:space="0" w:color="auto"/>
            <w:right w:val="none" w:sz="0" w:space="0" w:color="auto"/>
          </w:divBdr>
        </w:div>
        <w:div w:id="1348754167">
          <w:marLeft w:val="0"/>
          <w:marRight w:val="0"/>
          <w:marTop w:val="0"/>
          <w:marBottom w:val="0"/>
          <w:divBdr>
            <w:top w:val="none" w:sz="0" w:space="0" w:color="auto"/>
            <w:left w:val="none" w:sz="0" w:space="0" w:color="auto"/>
            <w:bottom w:val="none" w:sz="0" w:space="0" w:color="auto"/>
            <w:right w:val="none" w:sz="0" w:space="0" w:color="auto"/>
          </w:divBdr>
        </w:div>
        <w:div w:id="1749225816">
          <w:marLeft w:val="0"/>
          <w:marRight w:val="0"/>
          <w:marTop w:val="0"/>
          <w:marBottom w:val="0"/>
          <w:divBdr>
            <w:top w:val="none" w:sz="0" w:space="0" w:color="auto"/>
            <w:left w:val="none" w:sz="0" w:space="0" w:color="auto"/>
            <w:bottom w:val="none" w:sz="0" w:space="0" w:color="auto"/>
            <w:right w:val="none" w:sz="0" w:space="0" w:color="auto"/>
          </w:divBdr>
        </w:div>
        <w:div w:id="2037652701">
          <w:marLeft w:val="0"/>
          <w:marRight w:val="0"/>
          <w:marTop w:val="0"/>
          <w:marBottom w:val="0"/>
          <w:divBdr>
            <w:top w:val="none" w:sz="0" w:space="0" w:color="auto"/>
            <w:left w:val="none" w:sz="0" w:space="0" w:color="auto"/>
            <w:bottom w:val="none" w:sz="0" w:space="0" w:color="auto"/>
            <w:right w:val="none" w:sz="0" w:space="0" w:color="auto"/>
          </w:divBdr>
        </w:div>
        <w:div w:id="1701856043">
          <w:marLeft w:val="0"/>
          <w:marRight w:val="0"/>
          <w:marTop w:val="0"/>
          <w:marBottom w:val="0"/>
          <w:divBdr>
            <w:top w:val="none" w:sz="0" w:space="0" w:color="auto"/>
            <w:left w:val="none" w:sz="0" w:space="0" w:color="auto"/>
            <w:bottom w:val="none" w:sz="0" w:space="0" w:color="auto"/>
            <w:right w:val="none" w:sz="0" w:space="0" w:color="auto"/>
          </w:divBdr>
        </w:div>
      </w:divsChild>
    </w:div>
    <w:div w:id="914171043">
      <w:marLeft w:val="0"/>
      <w:marRight w:val="0"/>
      <w:marTop w:val="0"/>
      <w:marBottom w:val="0"/>
      <w:divBdr>
        <w:top w:val="none" w:sz="0" w:space="0" w:color="auto"/>
        <w:left w:val="none" w:sz="0" w:space="0" w:color="auto"/>
        <w:bottom w:val="none" w:sz="0" w:space="0" w:color="auto"/>
        <w:right w:val="none" w:sz="0" w:space="0" w:color="auto"/>
      </w:divBdr>
    </w:div>
    <w:div w:id="915867096">
      <w:marLeft w:val="0"/>
      <w:marRight w:val="0"/>
      <w:marTop w:val="280"/>
      <w:marBottom w:val="0"/>
      <w:divBdr>
        <w:top w:val="none" w:sz="0" w:space="0" w:color="auto"/>
        <w:left w:val="none" w:sz="0" w:space="0" w:color="auto"/>
        <w:bottom w:val="none" w:sz="0" w:space="0" w:color="auto"/>
        <w:right w:val="none" w:sz="0" w:space="0" w:color="auto"/>
      </w:divBdr>
    </w:div>
    <w:div w:id="928588422">
      <w:marLeft w:val="0"/>
      <w:marRight w:val="0"/>
      <w:marTop w:val="100"/>
      <w:marBottom w:val="0"/>
      <w:divBdr>
        <w:top w:val="none" w:sz="0" w:space="0" w:color="auto"/>
        <w:left w:val="none" w:sz="0" w:space="0" w:color="auto"/>
        <w:bottom w:val="none" w:sz="0" w:space="0" w:color="auto"/>
        <w:right w:val="none" w:sz="0" w:space="0" w:color="auto"/>
      </w:divBdr>
    </w:div>
    <w:div w:id="928654989">
      <w:marLeft w:val="0"/>
      <w:marRight w:val="0"/>
      <w:marTop w:val="100"/>
      <w:marBottom w:val="0"/>
      <w:divBdr>
        <w:top w:val="none" w:sz="0" w:space="0" w:color="auto"/>
        <w:left w:val="none" w:sz="0" w:space="0" w:color="auto"/>
        <w:bottom w:val="none" w:sz="0" w:space="0" w:color="auto"/>
        <w:right w:val="none" w:sz="0" w:space="0" w:color="auto"/>
      </w:divBdr>
    </w:div>
    <w:div w:id="936711673">
      <w:marLeft w:val="0"/>
      <w:marRight w:val="0"/>
      <w:marTop w:val="280"/>
      <w:marBottom w:val="0"/>
      <w:divBdr>
        <w:top w:val="none" w:sz="0" w:space="0" w:color="auto"/>
        <w:left w:val="none" w:sz="0" w:space="0" w:color="auto"/>
        <w:bottom w:val="none" w:sz="0" w:space="0" w:color="auto"/>
        <w:right w:val="none" w:sz="0" w:space="0" w:color="auto"/>
      </w:divBdr>
    </w:div>
    <w:div w:id="943919090">
      <w:marLeft w:val="0"/>
      <w:marRight w:val="0"/>
      <w:marTop w:val="100"/>
      <w:marBottom w:val="0"/>
      <w:divBdr>
        <w:top w:val="none" w:sz="0" w:space="0" w:color="auto"/>
        <w:left w:val="none" w:sz="0" w:space="0" w:color="auto"/>
        <w:bottom w:val="none" w:sz="0" w:space="0" w:color="auto"/>
        <w:right w:val="none" w:sz="0" w:space="0" w:color="auto"/>
      </w:divBdr>
    </w:div>
    <w:div w:id="944188536">
      <w:marLeft w:val="0"/>
      <w:marRight w:val="0"/>
      <w:marTop w:val="0"/>
      <w:marBottom w:val="0"/>
      <w:divBdr>
        <w:top w:val="none" w:sz="0" w:space="0" w:color="auto"/>
        <w:left w:val="none" w:sz="0" w:space="0" w:color="auto"/>
        <w:bottom w:val="none" w:sz="0" w:space="0" w:color="auto"/>
        <w:right w:val="none" w:sz="0" w:space="0" w:color="auto"/>
      </w:divBdr>
    </w:div>
    <w:div w:id="951862700">
      <w:marLeft w:val="0"/>
      <w:marRight w:val="0"/>
      <w:marTop w:val="100"/>
      <w:marBottom w:val="0"/>
      <w:divBdr>
        <w:top w:val="none" w:sz="0" w:space="0" w:color="auto"/>
        <w:left w:val="none" w:sz="0" w:space="0" w:color="auto"/>
        <w:bottom w:val="none" w:sz="0" w:space="0" w:color="auto"/>
        <w:right w:val="none" w:sz="0" w:space="0" w:color="auto"/>
      </w:divBdr>
    </w:div>
    <w:div w:id="952051050">
      <w:marLeft w:val="0"/>
      <w:marRight w:val="0"/>
      <w:marTop w:val="100"/>
      <w:marBottom w:val="0"/>
      <w:divBdr>
        <w:top w:val="none" w:sz="0" w:space="0" w:color="auto"/>
        <w:left w:val="none" w:sz="0" w:space="0" w:color="auto"/>
        <w:bottom w:val="none" w:sz="0" w:space="0" w:color="auto"/>
        <w:right w:val="none" w:sz="0" w:space="0" w:color="auto"/>
      </w:divBdr>
    </w:div>
    <w:div w:id="955873120">
      <w:marLeft w:val="0"/>
      <w:marRight w:val="0"/>
      <w:marTop w:val="0"/>
      <w:marBottom w:val="0"/>
      <w:divBdr>
        <w:top w:val="none" w:sz="0" w:space="0" w:color="auto"/>
        <w:left w:val="none" w:sz="0" w:space="0" w:color="auto"/>
        <w:bottom w:val="none" w:sz="0" w:space="0" w:color="auto"/>
        <w:right w:val="none" w:sz="0" w:space="0" w:color="auto"/>
      </w:divBdr>
    </w:div>
    <w:div w:id="956528585">
      <w:marLeft w:val="0"/>
      <w:marRight w:val="0"/>
      <w:marTop w:val="280"/>
      <w:marBottom w:val="0"/>
      <w:divBdr>
        <w:top w:val="none" w:sz="0" w:space="0" w:color="auto"/>
        <w:left w:val="none" w:sz="0" w:space="0" w:color="auto"/>
        <w:bottom w:val="none" w:sz="0" w:space="0" w:color="auto"/>
        <w:right w:val="none" w:sz="0" w:space="0" w:color="auto"/>
      </w:divBdr>
    </w:div>
    <w:div w:id="962537279">
      <w:marLeft w:val="0"/>
      <w:marRight w:val="0"/>
      <w:marTop w:val="100"/>
      <w:marBottom w:val="0"/>
      <w:divBdr>
        <w:top w:val="none" w:sz="0" w:space="0" w:color="auto"/>
        <w:left w:val="none" w:sz="0" w:space="0" w:color="auto"/>
        <w:bottom w:val="none" w:sz="0" w:space="0" w:color="auto"/>
        <w:right w:val="none" w:sz="0" w:space="0" w:color="auto"/>
      </w:divBdr>
    </w:div>
    <w:div w:id="962689376">
      <w:marLeft w:val="0"/>
      <w:marRight w:val="0"/>
      <w:marTop w:val="40"/>
      <w:marBottom w:val="0"/>
      <w:divBdr>
        <w:top w:val="none" w:sz="0" w:space="0" w:color="auto"/>
        <w:left w:val="none" w:sz="0" w:space="0" w:color="auto"/>
        <w:bottom w:val="none" w:sz="0" w:space="0" w:color="auto"/>
        <w:right w:val="none" w:sz="0" w:space="0" w:color="auto"/>
      </w:divBdr>
    </w:div>
    <w:div w:id="967272859">
      <w:marLeft w:val="0"/>
      <w:marRight w:val="0"/>
      <w:marTop w:val="100"/>
      <w:marBottom w:val="0"/>
      <w:divBdr>
        <w:top w:val="none" w:sz="0" w:space="0" w:color="auto"/>
        <w:left w:val="none" w:sz="0" w:space="0" w:color="auto"/>
        <w:bottom w:val="none" w:sz="0" w:space="0" w:color="auto"/>
        <w:right w:val="none" w:sz="0" w:space="0" w:color="auto"/>
      </w:divBdr>
    </w:div>
    <w:div w:id="967786005">
      <w:marLeft w:val="0"/>
      <w:marRight w:val="0"/>
      <w:marTop w:val="0"/>
      <w:marBottom w:val="0"/>
      <w:divBdr>
        <w:top w:val="none" w:sz="0" w:space="0" w:color="auto"/>
        <w:left w:val="none" w:sz="0" w:space="0" w:color="auto"/>
        <w:bottom w:val="none" w:sz="0" w:space="0" w:color="auto"/>
        <w:right w:val="none" w:sz="0" w:space="0" w:color="auto"/>
      </w:divBdr>
    </w:div>
    <w:div w:id="970407489">
      <w:marLeft w:val="0"/>
      <w:marRight w:val="0"/>
      <w:marTop w:val="0"/>
      <w:marBottom w:val="0"/>
      <w:divBdr>
        <w:top w:val="none" w:sz="0" w:space="0" w:color="auto"/>
        <w:left w:val="none" w:sz="0" w:space="0" w:color="auto"/>
        <w:bottom w:val="none" w:sz="0" w:space="0" w:color="auto"/>
        <w:right w:val="none" w:sz="0" w:space="0" w:color="auto"/>
      </w:divBdr>
      <w:divsChild>
        <w:div w:id="927159447">
          <w:marLeft w:val="0"/>
          <w:marRight w:val="0"/>
          <w:marTop w:val="0"/>
          <w:marBottom w:val="0"/>
          <w:divBdr>
            <w:top w:val="none" w:sz="0" w:space="0" w:color="auto"/>
            <w:left w:val="none" w:sz="0" w:space="0" w:color="auto"/>
            <w:bottom w:val="none" w:sz="0" w:space="0" w:color="auto"/>
            <w:right w:val="none" w:sz="0" w:space="0" w:color="auto"/>
          </w:divBdr>
        </w:div>
      </w:divsChild>
    </w:div>
    <w:div w:id="973678106">
      <w:marLeft w:val="0"/>
      <w:marRight w:val="0"/>
      <w:marTop w:val="100"/>
      <w:marBottom w:val="160"/>
      <w:divBdr>
        <w:top w:val="none" w:sz="0" w:space="0" w:color="auto"/>
        <w:left w:val="none" w:sz="0" w:space="0" w:color="auto"/>
        <w:bottom w:val="none" w:sz="0" w:space="0" w:color="auto"/>
        <w:right w:val="none" w:sz="0" w:space="0" w:color="auto"/>
      </w:divBdr>
      <w:divsChild>
        <w:div w:id="1955939577">
          <w:marLeft w:val="0"/>
          <w:marRight w:val="0"/>
          <w:marTop w:val="0"/>
          <w:marBottom w:val="0"/>
          <w:divBdr>
            <w:top w:val="none" w:sz="0" w:space="0" w:color="auto"/>
            <w:left w:val="none" w:sz="0" w:space="0" w:color="auto"/>
            <w:bottom w:val="none" w:sz="0" w:space="0" w:color="auto"/>
            <w:right w:val="none" w:sz="0" w:space="0" w:color="auto"/>
          </w:divBdr>
        </w:div>
      </w:divsChild>
    </w:div>
    <w:div w:id="976758369">
      <w:marLeft w:val="0"/>
      <w:marRight w:val="0"/>
      <w:marTop w:val="280"/>
      <w:marBottom w:val="0"/>
      <w:divBdr>
        <w:top w:val="none" w:sz="0" w:space="0" w:color="auto"/>
        <w:left w:val="none" w:sz="0" w:space="0" w:color="auto"/>
        <w:bottom w:val="none" w:sz="0" w:space="0" w:color="auto"/>
        <w:right w:val="none" w:sz="0" w:space="0" w:color="auto"/>
      </w:divBdr>
    </w:div>
    <w:div w:id="980882413">
      <w:marLeft w:val="0"/>
      <w:marRight w:val="0"/>
      <w:marTop w:val="100"/>
      <w:marBottom w:val="0"/>
      <w:divBdr>
        <w:top w:val="none" w:sz="0" w:space="0" w:color="auto"/>
        <w:left w:val="none" w:sz="0" w:space="0" w:color="auto"/>
        <w:bottom w:val="none" w:sz="0" w:space="0" w:color="auto"/>
        <w:right w:val="none" w:sz="0" w:space="0" w:color="auto"/>
      </w:divBdr>
    </w:div>
    <w:div w:id="1002585540">
      <w:marLeft w:val="0"/>
      <w:marRight w:val="0"/>
      <w:marTop w:val="100"/>
      <w:marBottom w:val="0"/>
      <w:divBdr>
        <w:top w:val="none" w:sz="0" w:space="0" w:color="auto"/>
        <w:left w:val="none" w:sz="0" w:space="0" w:color="auto"/>
        <w:bottom w:val="none" w:sz="0" w:space="0" w:color="auto"/>
        <w:right w:val="none" w:sz="0" w:space="0" w:color="auto"/>
      </w:divBdr>
    </w:div>
    <w:div w:id="1007051131">
      <w:marLeft w:val="0"/>
      <w:marRight w:val="0"/>
      <w:marTop w:val="0"/>
      <w:marBottom w:val="0"/>
      <w:divBdr>
        <w:top w:val="none" w:sz="0" w:space="0" w:color="auto"/>
        <w:left w:val="none" w:sz="0" w:space="0" w:color="auto"/>
        <w:bottom w:val="none" w:sz="0" w:space="0" w:color="auto"/>
        <w:right w:val="none" w:sz="0" w:space="0" w:color="auto"/>
      </w:divBdr>
    </w:div>
    <w:div w:id="1007170896">
      <w:marLeft w:val="0"/>
      <w:marRight w:val="0"/>
      <w:marTop w:val="100"/>
      <w:marBottom w:val="0"/>
      <w:divBdr>
        <w:top w:val="none" w:sz="0" w:space="0" w:color="auto"/>
        <w:left w:val="none" w:sz="0" w:space="0" w:color="auto"/>
        <w:bottom w:val="none" w:sz="0" w:space="0" w:color="auto"/>
        <w:right w:val="none" w:sz="0" w:space="0" w:color="auto"/>
      </w:divBdr>
    </w:div>
    <w:div w:id="1011446770">
      <w:marLeft w:val="0"/>
      <w:marRight w:val="0"/>
      <w:marTop w:val="100"/>
      <w:marBottom w:val="0"/>
      <w:divBdr>
        <w:top w:val="none" w:sz="0" w:space="0" w:color="auto"/>
        <w:left w:val="none" w:sz="0" w:space="0" w:color="auto"/>
        <w:bottom w:val="none" w:sz="0" w:space="0" w:color="auto"/>
        <w:right w:val="none" w:sz="0" w:space="0" w:color="auto"/>
      </w:divBdr>
    </w:div>
    <w:div w:id="1012218800">
      <w:marLeft w:val="0"/>
      <w:marRight w:val="0"/>
      <w:marTop w:val="280"/>
      <w:marBottom w:val="0"/>
      <w:divBdr>
        <w:top w:val="none" w:sz="0" w:space="0" w:color="auto"/>
        <w:left w:val="none" w:sz="0" w:space="0" w:color="auto"/>
        <w:bottom w:val="none" w:sz="0" w:space="0" w:color="auto"/>
        <w:right w:val="none" w:sz="0" w:space="0" w:color="auto"/>
      </w:divBdr>
    </w:div>
    <w:div w:id="1018434596">
      <w:marLeft w:val="0"/>
      <w:marRight w:val="0"/>
      <w:marTop w:val="100"/>
      <w:marBottom w:val="0"/>
      <w:divBdr>
        <w:top w:val="none" w:sz="0" w:space="0" w:color="auto"/>
        <w:left w:val="none" w:sz="0" w:space="0" w:color="auto"/>
        <w:bottom w:val="none" w:sz="0" w:space="0" w:color="auto"/>
        <w:right w:val="none" w:sz="0" w:space="0" w:color="auto"/>
      </w:divBdr>
    </w:div>
    <w:div w:id="1023628599">
      <w:marLeft w:val="0"/>
      <w:marRight w:val="0"/>
      <w:marTop w:val="280"/>
      <w:marBottom w:val="0"/>
      <w:divBdr>
        <w:top w:val="none" w:sz="0" w:space="0" w:color="auto"/>
        <w:left w:val="none" w:sz="0" w:space="0" w:color="auto"/>
        <w:bottom w:val="none" w:sz="0" w:space="0" w:color="auto"/>
        <w:right w:val="none" w:sz="0" w:space="0" w:color="auto"/>
      </w:divBdr>
    </w:div>
    <w:div w:id="1023635352">
      <w:marLeft w:val="0"/>
      <w:marRight w:val="0"/>
      <w:marTop w:val="0"/>
      <w:marBottom w:val="0"/>
      <w:divBdr>
        <w:top w:val="none" w:sz="0" w:space="0" w:color="auto"/>
        <w:left w:val="none" w:sz="0" w:space="0" w:color="auto"/>
        <w:bottom w:val="none" w:sz="0" w:space="0" w:color="auto"/>
        <w:right w:val="none" w:sz="0" w:space="0" w:color="auto"/>
      </w:divBdr>
      <w:divsChild>
        <w:div w:id="157691248">
          <w:marLeft w:val="0"/>
          <w:marRight w:val="0"/>
          <w:marTop w:val="0"/>
          <w:marBottom w:val="0"/>
          <w:divBdr>
            <w:top w:val="none" w:sz="0" w:space="0" w:color="auto"/>
            <w:left w:val="none" w:sz="0" w:space="0" w:color="auto"/>
            <w:bottom w:val="none" w:sz="0" w:space="0" w:color="auto"/>
            <w:right w:val="none" w:sz="0" w:space="0" w:color="auto"/>
          </w:divBdr>
        </w:div>
      </w:divsChild>
    </w:div>
    <w:div w:id="1027412493">
      <w:marLeft w:val="0"/>
      <w:marRight w:val="0"/>
      <w:marTop w:val="100"/>
      <w:marBottom w:val="160"/>
      <w:divBdr>
        <w:top w:val="none" w:sz="0" w:space="0" w:color="auto"/>
        <w:left w:val="none" w:sz="0" w:space="0" w:color="auto"/>
        <w:bottom w:val="none" w:sz="0" w:space="0" w:color="auto"/>
        <w:right w:val="none" w:sz="0" w:space="0" w:color="auto"/>
      </w:divBdr>
    </w:div>
    <w:div w:id="1028718693">
      <w:marLeft w:val="0"/>
      <w:marRight w:val="0"/>
      <w:marTop w:val="280"/>
      <w:marBottom w:val="0"/>
      <w:divBdr>
        <w:top w:val="none" w:sz="0" w:space="0" w:color="auto"/>
        <w:left w:val="none" w:sz="0" w:space="0" w:color="auto"/>
        <w:bottom w:val="none" w:sz="0" w:space="0" w:color="auto"/>
        <w:right w:val="none" w:sz="0" w:space="0" w:color="auto"/>
      </w:divBdr>
    </w:div>
    <w:div w:id="1029834331">
      <w:marLeft w:val="0"/>
      <w:marRight w:val="0"/>
      <w:marTop w:val="100"/>
      <w:marBottom w:val="0"/>
      <w:divBdr>
        <w:top w:val="none" w:sz="0" w:space="0" w:color="auto"/>
        <w:left w:val="none" w:sz="0" w:space="0" w:color="auto"/>
        <w:bottom w:val="none" w:sz="0" w:space="0" w:color="auto"/>
        <w:right w:val="none" w:sz="0" w:space="0" w:color="auto"/>
      </w:divBdr>
    </w:div>
    <w:div w:id="1042365359">
      <w:marLeft w:val="0"/>
      <w:marRight w:val="0"/>
      <w:marTop w:val="100"/>
      <w:marBottom w:val="0"/>
      <w:divBdr>
        <w:top w:val="none" w:sz="0" w:space="0" w:color="auto"/>
        <w:left w:val="none" w:sz="0" w:space="0" w:color="auto"/>
        <w:bottom w:val="none" w:sz="0" w:space="0" w:color="auto"/>
        <w:right w:val="none" w:sz="0" w:space="0" w:color="auto"/>
      </w:divBdr>
    </w:div>
    <w:div w:id="1050493953">
      <w:marLeft w:val="0"/>
      <w:marRight w:val="0"/>
      <w:marTop w:val="100"/>
      <w:marBottom w:val="0"/>
      <w:divBdr>
        <w:top w:val="none" w:sz="0" w:space="0" w:color="auto"/>
        <w:left w:val="none" w:sz="0" w:space="0" w:color="auto"/>
        <w:bottom w:val="none" w:sz="0" w:space="0" w:color="auto"/>
        <w:right w:val="none" w:sz="0" w:space="0" w:color="auto"/>
      </w:divBdr>
    </w:div>
    <w:div w:id="1052075024">
      <w:marLeft w:val="0"/>
      <w:marRight w:val="0"/>
      <w:marTop w:val="280"/>
      <w:marBottom w:val="0"/>
      <w:divBdr>
        <w:top w:val="none" w:sz="0" w:space="0" w:color="auto"/>
        <w:left w:val="none" w:sz="0" w:space="0" w:color="auto"/>
        <w:bottom w:val="none" w:sz="0" w:space="0" w:color="auto"/>
        <w:right w:val="none" w:sz="0" w:space="0" w:color="auto"/>
      </w:divBdr>
    </w:div>
    <w:div w:id="1052391764">
      <w:marLeft w:val="0"/>
      <w:marRight w:val="0"/>
      <w:marTop w:val="280"/>
      <w:marBottom w:val="0"/>
      <w:divBdr>
        <w:top w:val="none" w:sz="0" w:space="0" w:color="auto"/>
        <w:left w:val="none" w:sz="0" w:space="0" w:color="auto"/>
        <w:bottom w:val="none" w:sz="0" w:space="0" w:color="auto"/>
        <w:right w:val="none" w:sz="0" w:space="0" w:color="auto"/>
      </w:divBdr>
    </w:div>
    <w:div w:id="1057239931">
      <w:marLeft w:val="0"/>
      <w:marRight w:val="0"/>
      <w:marTop w:val="0"/>
      <w:marBottom w:val="0"/>
      <w:divBdr>
        <w:top w:val="none" w:sz="0" w:space="0" w:color="auto"/>
        <w:left w:val="none" w:sz="0" w:space="0" w:color="auto"/>
        <w:bottom w:val="none" w:sz="0" w:space="0" w:color="auto"/>
        <w:right w:val="none" w:sz="0" w:space="0" w:color="auto"/>
      </w:divBdr>
    </w:div>
    <w:div w:id="1065953190">
      <w:marLeft w:val="0"/>
      <w:marRight w:val="0"/>
      <w:marTop w:val="100"/>
      <w:marBottom w:val="0"/>
      <w:divBdr>
        <w:top w:val="none" w:sz="0" w:space="0" w:color="auto"/>
        <w:left w:val="none" w:sz="0" w:space="0" w:color="auto"/>
        <w:bottom w:val="none" w:sz="0" w:space="0" w:color="auto"/>
        <w:right w:val="none" w:sz="0" w:space="0" w:color="auto"/>
      </w:divBdr>
    </w:div>
    <w:div w:id="1068453006">
      <w:marLeft w:val="0"/>
      <w:marRight w:val="0"/>
      <w:marTop w:val="100"/>
      <w:marBottom w:val="0"/>
      <w:divBdr>
        <w:top w:val="none" w:sz="0" w:space="0" w:color="auto"/>
        <w:left w:val="none" w:sz="0" w:space="0" w:color="auto"/>
        <w:bottom w:val="none" w:sz="0" w:space="0" w:color="auto"/>
        <w:right w:val="none" w:sz="0" w:space="0" w:color="auto"/>
      </w:divBdr>
    </w:div>
    <w:div w:id="1068647473">
      <w:marLeft w:val="0"/>
      <w:marRight w:val="0"/>
      <w:marTop w:val="40"/>
      <w:marBottom w:val="0"/>
      <w:divBdr>
        <w:top w:val="none" w:sz="0" w:space="0" w:color="auto"/>
        <w:left w:val="none" w:sz="0" w:space="0" w:color="auto"/>
        <w:bottom w:val="none" w:sz="0" w:space="0" w:color="auto"/>
        <w:right w:val="none" w:sz="0" w:space="0" w:color="auto"/>
      </w:divBdr>
    </w:div>
    <w:div w:id="1074624708">
      <w:marLeft w:val="0"/>
      <w:marRight w:val="0"/>
      <w:marTop w:val="100"/>
      <w:marBottom w:val="0"/>
      <w:divBdr>
        <w:top w:val="none" w:sz="0" w:space="0" w:color="auto"/>
        <w:left w:val="none" w:sz="0" w:space="0" w:color="auto"/>
        <w:bottom w:val="none" w:sz="0" w:space="0" w:color="auto"/>
        <w:right w:val="none" w:sz="0" w:space="0" w:color="auto"/>
      </w:divBdr>
    </w:div>
    <w:div w:id="1074856128">
      <w:marLeft w:val="0"/>
      <w:marRight w:val="0"/>
      <w:marTop w:val="100"/>
      <w:marBottom w:val="0"/>
      <w:divBdr>
        <w:top w:val="none" w:sz="0" w:space="0" w:color="auto"/>
        <w:left w:val="none" w:sz="0" w:space="0" w:color="auto"/>
        <w:bottom w:val="none" w:sz="0" w:space="0" w:color="auto"/>
        <w:right w:val="none" w:sz="0" w:space="0" w:color="auto"/>
      </w:divBdr>
    </w:div>
    <w:div w:id="1075781079">
      <w:marLeft w:val="0"/>
      <w:marRight w:val="0"/>
      <w:marTop w:val="100"/>
      <w:marBottom w:val="0"/>
      <w:divBdr>
        <w:top w:val="none" w:sz="0" w:space="0" w:color="auto"/>
        <w:left w:val="none" w:sz="0" w:space="0" w:color="auto"/>
        <w:bottom w:val="none" w:sz="0" w:space="0" w:color="auto"/>
        <w:right w:val="none" w:sz="0" w:space="0" w:color="auto"/>
      </w:divBdr>
    </w:div>
    <w:div w:id="1076246844">
      <w:marLeft w:val="0"/>
      <w:marRight w:val="0"/>
      <w:marTop w:val="280"/>
      <w:marBottom w:val="0"/>
      <w:divBdr>
        <w:top w:val="none" w:sz="0" w:space="0" w:color="auto"/>
        <w:left w:val="none" w:sz="0" w:space="0" w:color="auto"/>
        <w:bottom w:val="none" w:sz="0" w:space="0" w:color="auto"/>
        <w:right w:val="none" w:sz="0" w:space="0" w:color="auto"/>
      </w:divBdr>
    </w:div>
    <w:div w:id="1086536196">
      <w:marLeft w:val="0"/>
      <w:marRight w:val="0"/>
      <w:marTop w:val="100"/>
      <w:marBottom w:val="0"/>
      <w:divBdr>
        <w:top w:val="none" w:sz="0" w:space="0" w:color="auto"/>
        <w:left w:val="none" w:sz="0" w:space="0" w:color="auto"/>
        <w:bottom w:val="none" w:sz="0" w:space="0" w:color="auto"/>
        <w:right w:val="none" w:sz="0" w:space="0" w:color="auto"/>
      </w:divBdr>
    </w:div>
    <w:div w:id="1088230649">
      <w:marLeft w:val="0"/>
      <w:marRight w:val="0"/>
      <w:marTop w:val="280"/>
      <w:marBottom w:val="0"/>
      <w:divBdr>
        <w:top w:val="none" w:sz="0" w:space="0" w:color="auto"/>
        <w:left w:val="none" w:sz="0" w:space="0" w:color="auto"/>
        <w:bottom w:val="none" w:sz="0" w:space="0" w:color="auto"/>
        <w:right w:val="none" w:sz="0" w:space="0" w:color="auto"/>
      </w:divBdr>
    </w:div>
    <w:div w:id="1088385560">
      <w:marLeft w:val="0"/>
      <w:marRight w:val="0"/>
      <w:marTop w:val="280"/>
      <w:marBottom w:val="0"/>
      <w:divBdr>
        <w:top w:val="none" w:sz="0" w:space="0" w:color="auto"/>
        <w:left w:val="none" w:sz="0" w:space="0" w:color="auto"/>
        <w:bottom w:val="none" w:sz="0" w:space="0" w:color="auto"/>
        <w:right w:val="none" w:sz="0" w:space="0" w:color="auto"/>
      </w:divBdr>
    </w:div>
    <w:div w:id="1098058017">
      <w:marLeft w:val="0"/>
      <w:marRight w:val="0"/>
      <w:marTop w:val="100"/>
      <w:marBottom w:val="0"/>
      <w:divBdr>
        <w:top w:val="none" w:sz="0" w:space="0" w:color="auto"/>
        <w:left w:val="none" w:sz="0" w:space="0" w:color="auto"/>
        <w:bottom w:val="none" w:sz="0" w:space="0" w:color="auto"/>
        <w:right w:val="none" w:sz="0" w:space="0" w:color="auto"/>
      </w:divBdr>
    </w:div>
    <w:div w:id="1099763125">
      <w:marLeft w:val="0"/>
      <w:marRight w:val="0"/>
      <w:marTop w:val="100"/>
      <w:marBottom w:val="0"/>
      <w:divBdr>
        <w:top w:val="none" w:sz="0" w:space="0" w:color="auto"/>
        <w:left w:val="none" w:sz="0" w:space="0" w:color="auto"/>
        <w:bottom w:val="none" w:sz="0" w:space="0" w:color="auto"/>
        <w:right w:val="none" w:sz="0" w:space="0" w:color="auto"/>
      </w:divBdr>
    </w:div>
    <w:div w:id="1106004908">
      <w:marLeft w:val="0"/>
      <w:marRight w:val="0"/>
      <w:marTop w:val="100"/>
      <w:marBottom w:val="0"/>
      <w:divBdr>
        <w:top w:val="none" w:sz="0" w:space="0" w:color="auto"/>
        <w:left w:val="none" w:sz="0" w:space="0" w:color="auto"/>
        <w:bottom w:val="none" w:sz="0" w:space="0" w:color="auto"/>
        <w:right w:val="none" w:sz="0" w:space="0" w:color="auto"/>
      </w:divBdr>
    </w:div>
    <w:div w:id="1111627294">
      <w:marLeft w:val="0"/>
      <w:marRight w:val="0"/>
      <w:marTop w:val="100"/>
      <w:marBottom w:val="0"/>
      <w:divBdr>
        <w:top w:val="none" w:sz="0" w:space="0" w:color="auto"/>
        <w:left w:val="none" w:sz="0" w:space="0" w:color="auto"/>
        <w:bottom w:val="none" w:sz="0" w:space="0" w:color="auto"/>
        <w:right w:val="none" w:sz="0" w:space="0" w:color="auto"/>
      </w:divBdr>
    </w:div>
    <w:div w:id="1119296903">
      <w:marLeft w:val="0"/>
      <w:marRight w:val="0"/>
      <w:marTop w:val="100"/>
      <w:marBottom w:val="0"/>
      <w:divBdr>
        <w:top w:val="none" w:sz="0" w:space="0" w:color="auto"/>
        <w:left w:val="none" w:sz="0" w:space="0" w:color="auto"/>
        <w:bottom w:val="none" w:sz="0" w:space="0" w:color="auto"/>
        <w:right w:val="none" w:sz="0" w:space="0" w:color="auto"/>
      </w:divBdr>
      <w:divsChild>
        <w:div w:id="31003274">
          <w:marLeft w:val="0"/>
          <w:marRight w:val="0"/>
          <w:marTop w:val="0"/>
          <w:marBottom w:val="0"/>
          <w:divBdr>
            <w:top w:val="none" w:sz="0" w:space="0" w:color="auto"/>
            <w:left w:val="none" w:sz="0" w:space="0" w:color="auto"/>
            <w:bottom w:val="none" w:sz="0" w:space="0" w:color="auto"/>
            <w:right w:val="none" w:sz="0" w:space="0" w:color="auto"/>
          </w:divBdr>
        </w:div>
      </w:divsChild>
    </w:div>
    <w:div w:id="1125344890">
      <w:marLeft w:val="0"/>
      <w:marRight w:val="0"/>
      <w:marTop w:val="280"/>
      <w:marBottom w:val="0"/>
      <w:divBdr>
        <w:top w:val="none" w:sz="0" w:space="0" w:color="auto"/>
        <w:left w:val="none" w:sz="0" w:space="0" w:color="auto"/>
        <w:bottom w:val="none" w:sz="0" w:space="0" w:color="auto"/>
        <w:right w:val="none" w:sz="0" w:space="0" w:color="auto"/>
      </w:divBdr>
    </w:div>
    <w:div w:id="1125781603">
      <w:marLeft w:val="0"/>
      <w:marRight w:val="0"/>
      <w:marTop w:val="100"/>
      <w:marBottom w:val="0"/>
      <w:divBdr>
        <w:top w:val="none" w:sz="0" w:space="0" w:color="auto"/>
        <w:left w:val="none" w:sz="0" w:space="0" w:color="auto"/>
        <w:bottom w:val="none" w:sz="0" w:space="0" w:color="auto"/>
        <w:right w:val="none" w:sz="0" w:space="0" w:color="auto"/>
      </w:divBdr>
      <w:divsChild>
        <w:div w:id="1953975070">
          <w:marLeft w:val="0"/>
          <w:marRight w:val="0"/>
          <w:marTop w:val="0"/>
          <w:marBottom w:val="0"/>
          <w:divBdr>
            <w:top w:val="none" w:sz="0" w:space="0" w:color="auto"/>
            <w:left w:val="none" w:sz="0" w:space="0" w:color="auto"/>
            <w:bottom w:val="none" w:sz="0" w:space="0" w:color="auto"/>
            <w:right w:val="none" w:sz="0" w:space="0" w:color="auto"/>
          </w:divBdr>
        </w:div>
        <w:div w:id="1470591588">
          <w:marLeft w:val="0"/>
          <w:marRight w:val="0"/>
          <w:marTop w:val="0"/>
          <w:marBottom w:val="0"/>
          <w:divBdr>
            <w:top w:val="none" w:sz="0" w:space="0" w:color="auto"/>
            <w:left w:val="none" w:sz="0" w:space="0" w:color="auto"/>
            <w:bottom w:val="none" w:sz="0" w:space="0" w:color="auto"/>
            <w:right w:val="none" w:sz="0" w:space="0" w:color="auto"/>
          </w:divBdr>
        </w:div>
        <w:div w:id="9306935">
          <w:marLeft w:val="0"/>
          <w:marRight w:val="0"/>
          <w:marTop w:val="0"/>
          <w:marBottom w:val="0"/>
          <w:divBdr>
            <w:top w:val="none" w:sz="0" w:space="0" w:color="auto"/>
            <w:left w:val="none" w:sz="0" w:space="0" w:color="auto"/>
            <w:bottom w:val="none" w:sz="0" w:space="0" w:color="auto"/>
            <w:right w:val="none" w:sz="0" w:space="0" w:color="auto"/>
          </w:divBdr>
        </w:div>
        <w:div w:id="1771732540">
          <w:marLeft w:val="0"/>
          <w:marRight w:val="0"/>
          <w:marTop w:val="0"/>
          <w:marBottom w:val="0"/>
          <w:divBdr>
            <w:top w:val="none" w:sz="0" w:space="0" w:color="auto"/>
            <w:left w:val="none" w:sz="0" w:space="0" w:color="auto"/>
            <w:bottom w:val="none" w:sz="0" w:space="0" w:color="auto"/>
            <w:right w:val="none" w:sz="0" w:space="0" w:color="auto"/>
          </w:divBdr>
        </w:div>
        <w:div w:id="1829789011">
          <w:marLeft w:val="0"/>
          <w:marRight w:val="0"/>
          <w:marTop w:val="0"/>
          <w:marBottom w:val="0"/>
          <w:divBdr>
            <w:top w:val="none" w:sz="0" w:space="0" w:color="auto"/>
            <w:left w:val="none" w:sz="0" w:space="0" w:color="auto"/>
            <w:bottom w:val="none" w:sz="0" w:space="0" w:color="auto"/>
            <w:right w:val="none" w:sz="0" w:space="0" w:color="auto"/>
          </w:divBdr>
        </w:div>
      </w:divsChild>
    </w:div>
    <w:div w:id="1129202551">
      <w:marLeft w:val="0"/>
      <w:marRight w:val="0"/>
      <w:marTop w:val="0"/>
      <w:marBottom w:val="0"/>
      <w:divBdr>
        <w:top w:val="none" w:sz="0" w:space="0" w:color="auto"/>
        <w:left w:val="none" w:sz="0" w:space="0" w:color="auto"/>
        <w:bottom w:val="none" w:sz="0" w:space="0" w:color="auto"/>
        <w:right w:val="none" w:sz="0" w:space="0" w:color="auto"/>
      </w:divBdr>
      <w:divsChild>
        <w:div w:id="213276850">
          <w:marLeft w:val="0"/>
          <w:marRight w:val="0"/>
          <w:marTop w:val="0"/>
          <w:marBottom w:val="0"/>
          <w:divBdr>
            <w:top w:val="none" w:sz="0" w:space="0" w:color="auto"/>
            <w:left w:val="none" w:sz="0" w:space="0" w:color="auto"/>
            <w:bottom w:val="none" w:sz="0" w:space="0" w:color="auto"/>
            <w:right w:val="none" w:sz="0" w:space="0" w:color="auto"/>
          </w:divBdr>
        </w:div>
      </w:divsChild>
    </w:div>
    <w:div w:id="1136944761">
      <w:marLeft w:val="0"/>
      <w:marRight w:val="0"/>
      <w:marTop w:val="280"/>
      <w:marBottom w:val="0"/>
      <w:divBdr>
        <w:top w:val="none" w:sz="0" w:space="0" w:color="auto"/>
        <w:left w:val="none" w:sz="0" w:space="0" w:color="auto"/>
        <w:bottom w:val="none" w:sz="0" w:space="0" w:color="auto"/>
        <w:right w:val="none" w:sz="0" w:space="0" w:color="auto"/>
      </w:divBdr>
    </w:div>
    <w:div w:id="1137453958">
      <w:marLeft w:val="0"/>
      <w:marRight w:val="0"/>
      <w:marTop w:val="100"/>
      <w:marBottom w:val="0"/>
      <w:divBdr>
        <w:top w:val="none" w:sz="0" w:space="0" w:color="auto"/>
        <w:left w:val="none" w:sz="0" w:space="0" w:color="auto"/>
        <w:bottom w:val="none" w:sz="0" w:space="0" w:color="auto"/>
        <w:right w:val="none" w:sz="0" w:space="0" w:color="auto"/>
      </w:divBdr>
    </w:div>
    <w:div w:id="1143931239">
      <w:marLeft w:val="0"/>
      <w:marRight w:val="0"/>
      <w:marTop w:val="100"/>
      <w:marBottom w:val="0"/>
      <w:divBdr>
        <w:top w:val="none" w:sz="0" w:space="0" w:color="auto"/>
        <w:left w:val="none" w:sz="0" w:space="0" w:color="auto"/>
        <w:bottom w:val="none" w:sz="0" w:space="0" w:color="auto"/>
        <w:right w:val="none" w:sz="0" w:space="0" w:color="auto"/>
      </w:divBdr>
    </w:div>
    <w:div w:id="1146894708">
      <w:marLeft w:val="0"/>
      <w:marRight w:val="0"/>
      <w:marTop w:val="120"/>
      <w:marBottom w:val="0"/>
      <w:divBdr>
        <w:top w:val="none" w:sz="0" w:space="0" w:color="auto"/>
        <w:left w:val="none" w:sz="0" w:space="0" w:color="auto"/>
        <w:bottom w:val="none" w:sz="0" w:space="0" w:color="auto"/>
        <w:right w:val="none" w:sz="0" w:space="0" w:color="auto"/>
      </w:divBdr>
    </w:div>
    <w:div w:id="1147821032">
      <w:marLeft w:val="0"/>
      <w:marRight w:val="0"/>
      <w:marTop w:val="100"/>
      <w:marBottom w:val="0"/>
      <w:divBdr>
        <w:top w:val="none" w:sz="0" w:space="0" w:color="auto"/>
        <w:left w:val="none" w:sz="0" w:space="0" w:color="auto"/>
        <w:bottom w:val="none" w:sz="0" w:space="0" w:color="auto"/>
        <w:right w:val="none" w:sz="0" w:space="0" w:color="auto"/>
      </w:divBdr>
    </w:div>
    <w:div w:id="1147934328">
      <w:marLeft w:val="0"/>
      <w:marRight w:val="0"/>
      <w:marTop w:val="60"/>
      <w:marBottom w:val="0"/>
      <w:divBdr>
        <w:top w:val="none" w:sz="0" w:space="0" w:color="auto"/>
        <w:left w:val="none" w:sz="0" w:space="0" w:color="auto"/>
        <w:bottom w:val="none" w:sz="0" w:space="0" w:color="auto"/>
        <w:right w:val="none" w:sz="0" w:space="0" w:color="auto"/>
      </w:divBdr>
    </w:div>
    <w:div w:id="1148323300">
      <w:marLeft w:val="0"/>
      <w:marRight w:val="0"/>
      <w:marTop w:val="0"/>
      <w:marBottom w:val="0"/>
      <w:divBdr>
        <w:top w:val="none" w:sz="0" w:space="0" w:color="auto"/>
        <w:left w:val="none" w:sz="0" w:space="0" w:color="auto"/>
        <w:bottom w:val="none" w:sz="0" w:space="0" w:color="auto"/>
        <w:right w:val="none" w:sz="0" w:space="0" w:color="auto"/>
      </w:divBdr>
    </w:div>
    <w:div w:id="1152990298">
      <w:marLeft w:val="0"/>
      <w:marRight w:val="0"/>
      <w:marTop w:val="100"/>
      <w:marBottom w:val="0"/>
      <w:divBdr>
        <w:top w:val="none" w:sz="0" w:space="0" w:color="auto"/>
        <w:left w:val="none" w:sz="0" w:space="0" w:color="auto"/>
        <w:bottom w:val="none" w:sz="0" w:space="0" w:color="auto"/>
        <w:right w:val="none" w:sz="0" w:space="0" w:color="auto"/>
      </w:divBdr>
    </w:div>
    <w:div w:id="1156066924">
      <w:marLeft w:val="0"/>
      <w:marRight w:val="0"/>
      <w:marTop w:val="100"/>
      <w:marBottom w:val="0"/>
      <w:divBdr>
        <w:top w:val="none" w:sz="0" w:space="0" w:color="auto"/>
        <w:left w:val="none" w:sz="0" w:space="0" w:color="auto"/>
        <w:bottom w:val="none" w:sz="0" w:space="0" w:color="auto"/>
        <w:right w:val="none" w:sz="0" w:space="0" w:color="auto"/>
      </w:divBdr>
    </w:div>
    <w:div w:id="1160270677">
      <w:marLeft w:val="0"/>
      <w:marRight w:val="0"/>
      <w:marTop w:val="100"/>
      <w:marBottom w:val="0"/>
      <w:divBdr>
        <w:top w:val="none" w:sz="0" w:space="0" w:color="auto"/>
        <w:left w:val="none" w:sz="0" w:space="0" w:color="auto"/>
        <w:bottom w:val="none" w:sz="0" w:space="0" w:color="auto"/>
        <w:right w:val="none" w:sz="0" w:space="0" w:color="auto"/>
      </w:divBdr>
    </w:div>
    <w:div w:id="1160459331">
      <w:marLeft w:val="0"/>
      <w:marRight w:val="0"/>
      <w:marTop w:val="100"/>
      <w:marBottom w:val="0"/>
      <w:divBdr>
        <w:top w:val="none" w:sz="0" w:space="0" w:color="auto"/>
        <w:left w:val="none" w:sz="0" w:space="0" w:color="auto"/>
        <w:bottom w:val="none" w:sz="0" w:space="0" w:color="auto"/>
        <w:right w:val="none" w:sz="0" w:space="0" w:color="auto"/>
      </w:divBdr>
    </w:div>
    <w:div w:id="1161703106">
      <w:marLeft w:val="0"/>
      <w:marRight w:val="0"/>
      <w:marTop w:val="0"/>
      <w:marBottom w:val="0"/>
      <w:divBdr>
        <w:top w:val="none" w:sz="0" w:space="0" w:color="auto"/>
        <w:left w:val="none" w:sz="0" w:space="0" w:color="auto"/>
        <w:bottom w:val="none" w:sz="0" w:space="0" w:color="auto"/>
        <w:right w:val="none" w:sz="0" w:space="0" w:color="auto"/>
      </w:divBdr>
      <w:divsChild>
        <w:div w:id="240599216">
          <w:marLeft w:val="0"/>
          <w:marRight w:val="0"/>
          <w:marTop w:val="0"/>
          <w:marBottom w:val="0"/>
          <w:divBdr>
            <w:top w:val="none" w:sz="0" w:space="0" w:color="auto"/>
            <w:left w:val="none" w:sz="0" w:space="0" w:color="auto"/>
            <w:bottom w:val="none" w:sz="0" w:space="0" w:color="auto"/>
            <w:right w:val="none" w:sz="0" w:space="0" w:color="auto"/>
          </w:divBdr>
        </w:div>
      </w:divsChild>
    </w:div>
    <w:div w:id="1162938126">
      <w:marLeft w:val="0"/>
      <w:marRight w:val="0"/>
      <w:marTop w:val="280"/>
      <w:marBottom w:val="0"/>
      <w:divBdr>
        <w:top w:val="none" w:sz="0" w:space="0" w:color="auto"/>
        <w:left w:val="none" w:sz="0" w:space="0" w:color="auto"/>
        <w:bottom w:val="none" w:sz="0" w:space="0" w:color="auto"/>
        <w:right w:val="none" w:sz="0" w:space="0" w:color="auto"/>
      </w:divBdr>
    </w:div>
    <w:div w:id="1163551243">
      <w:marLeft w:val="0"/>
      <w:marRight w:val="0"/>
      <w:marTop w:val="100"/>
      <w:marBottom w:val="0"/>
      <w:divBdr>
        <w:top w:val="none" w:sz="0" w:space="0" w:color="auto"/>
        <w:left w:val="none" w:sz="0" w:space="0" w:color="auto"/>
        <w:bottom w:val="none" w:sz="0" w:space="0" w:color="auto"/>
        <w:right w:val="none" w:sz="0" w:space="0" w:color="auto"/>
      </w:divBdr>
    </w:div>
    <w:div w:id="1170103459">
      <w:marLeft w:val="0"/>
      <w:marRight w:val="0"/>
      <w:marTop w:val="0"/>
      <w:marBottom w:val="0"/>
      <w:divBdr>
        <w:top w:val="none" w:sz="0" w:space="0" w:color="auto"/>
        <w:left w:val="none" w:sz="0" w:space="0" w:color="auto"/>
        <w:bottom w:val="none" w:sz="0" w:space="0" w:color="auto"/>
        <w:right w:val="none" w:sz="0" w:space="0" w:color="auto"/>
      </w:divBdr>
    </w:div>
    <w:div w:id="1180698842">
      <w:marLeft w:val="0"/>
      <w:marRight w:val="0"/>
      <w:marTop w:val="0"/>
      <w:marBottom w:val="0"/>
      <w:divBdr>
        <w:top w:val="none" w:sz="0" w:space="0" w:color="auto"/>
        <w:left w:val="none" w:sz="0" w:space="0" w:color="auto"/>
        <w:bottom w:val="none" w:sz="0" w:space="0" w:color="auto"/>
        <w:right w:val="none" w:sz="0" w:space="0" w:color="auto"/>
      </w:divBdr>
    </w:div>
    <w:div w:id="1181895985">
      <w:marLeft w:val="0"/>
      <w:marRight w:val="0"/>
      <w:marTop w:val="0"/>
      <w:marBottom w:val="0"/>
      <w:divBdr>
        <w:top w:val="none" w:sz="0" w:space="0" w:color="auto"/>
        <w:left w:val="none" w:sz="0" w:space="0" w:color="auto"/>
        <w:bottom w:val="none" w:sz="0" w:space="0" w:color="auto"/>
        <w:right w:val="none" w:sz="0" w:space="0" w:color="auto"/>
      </w:divBdr>
      <w:divsChild>
        <w:div w:id="1506941956">
          <w:marLeft w:val="0"/>
          <w:marRight w:val="0"/>
          <w:marTop w:val="0"/>
          <w:marBottom w:val="0"/>
          <w:divBdr>
            <w:top w:val="none" w:sz="0" w:space="0" w:color="auto"/>
            <w:left w:val="none" w:sz="0" w:space="0" w:color="auto"/>
            <w:bottom w:val="none" w:sz="0" w:space="0" w:color="auto"/>
            <w:right w:val="none" w:sz="0" w:space="0" w:color="auto"/>
          </w:divBdr>
        </w:div>
      </w:divsChild>
    </w:div>
    <w:div w:id="1186678255">
      <w:marLeft w:val="0"/>
      <w:marRight w:val="0"/>
      <w:marTop w:val="40"/>
      <w:marBottom w:val="0"/>
      <w:divBdr>
        <w:top w:val="none" w:sz="0" w:space="0" w:color="auto"/>
        <w:left w:val="none" w:sz="0" w:space="0" w:color="auto"/>
        <w:bottom w:val="none" w:sz="0" w:space="0" w:color="auto"/>
        <w:right w:val="none" w:sz="0" w:space="0" w:color="auto"/>
      </w:divBdr>
    </w:div>
    <w:div w:id="1194881252">
      <w:marLeft w:val="0"/>
      <w:marRight w:val="0"/>
      <w:marTop w:val="280"/>
      <w:marBottom w:val="0"/>
      <w:divBdr>
        <w:top w:val="none" w:sz="0" w:space="0" w:color="auto"/>
        <w:left w:val="none" w:sz="0" w:space="0" w:color="auto"/>
        <w:bottom w:val="none" w:sz="0" w:space="0" w:color="auto"/>
        <w:right w:val="none" w:sz="0" w:space="0" w:color="auto"/>
      </w:divBdr>
    </w:div>
    <w:div w:id="1195343104">
      <w:marLeft w:val="0"/>
      <w:marRight w:val="0"/>
      <w:marTop w:val="100"/>
      <w:marBottom w:val="0"/>
      <w:divBdr>
        <w:top w:val="none" w:sz="0" w:space="0" w:color="auto"/>
        <w:left w:val="none" w:sz="0" w:space="0" w:color="auto"/>
        <w:bottom w:val="none" w:sz="0" w:space="0" w:color="auto"/>
        <w:right w:val="none" w:sz="0" w:space="0" w:color="auto"/>
      </w:divBdr>
    </w:div>
    <w:div w:id="1196045504">
      <w:marLeft w:val="0"/>
      <w:marRight w:val="0"/>
      <w:marTop w:val="280"/>
      <w:marBottom w:val="0"/>
      <w:divBdr>
        <w:top w:val="none" w:sz="0" w:space="0" w:color="auto"/>
        <w:left w:val="none" w:sz="0" w:space="0" w:color="auto"/>
        <w:bottom w:val="none" w:sz="0" w:space="0" w:color="auto"/>
        <w:right w:val="none" w:sz="0" w:space="0" w:color="auto"/>
      </w:divBdr>
    </w:div>
    <w:div w:id="1206144196">
      <w:marLeft w:val="0"/>
      <w:marRight w:val="0"/>
      <w:marTop w:val="280"/>
      <w:marBottom w:val="0"/>
      <w:divBdr>
        <w:top w:val="none" w:sz="0" w:space="0" w:color="auto"/>
        <w:left w:val="none" w:sz="0" w:space="0" w:color="auto"/>
        <w:bottom w:val="none" w:sz="0" w:space="0" w:color="auto"/>
        <w:right w:val="none" w:sz="0" w:space="0" w:color="auto"/>
      </w:divBdr>
    </w:div>
    <w:div w:id="1228222175">
      <w:marLeft w:val="0"/>
      <w:marRight w:val="0"/>
      <w:marTop w:val="40"/>
      <w:marBottom w:val="0"/>
      <w:divBdr>
        <w:top w:val="none" w:sz="0" w:space="0" w:color="auto"/>
        <w:left w:val="none" w:sz="0" w:space="0" w:color="auto"/>
        <w:bottom w:val="none" w:sz="0" w:space="0" w:color="auto"/>
        <w:right w:val="none" w:sz="0" w:space="0" w:color="auto"/>
      </w:divBdr>
    </w:div>
    <w:div w:id="1231501879">
      <w:marLeft w:val="0"/>
      <w:marRight w:val="0"/>
      <w:marTop w:val="100"/>
      <w:marBottom w:val="0"/>
      <w:divBdr>
        <w:top w:val="none" w:sz="0" w:space="0" w:color="auto"/>
        <w:left w:val="none" w:sz="0" w:space="0" w:color="auto"/>
        <w:bottom w:val="none" w:sz="0" w:space="0" w:color="auto"/>
        <w:right w:val="none" w:sz="0" w:space="0" w:color="auto"/>
      </w:divBdr>
    </w:div>
    <w:div w:id="1234466142">
      <w:marLeft w:val="0"/>
      <w:marRight w:val="0"/>
      <w:marTop w:val="0"/>
      <w:marBottom w:val="0"/>
      <w:divBdr>
        <w:top w:val="none" w:sz="0" w:space="0" w:color="auto"/>
        <w:left w:val="none" w:sz="0" w:space="0" w:color="auto"/>
        <w:bottom w:val="none" w:sz="0" w:space="0" w:color="auto"/>
        <w:right w:val="none" w:sz="0" w:space="0" w:color="auto"/>
      </w:divBdr>
    </w:div>
    <w:div w:id="1245921401">
      <w:marLeft w:val="0"/>
      <w:marRight w:val="0"/>
      <w:marTop w:val="100"/>
      <w:marBottom w:val="0"/>
      <w:divBdr>
        <w:top w:val="none" w:sz="0" w:space="0" w:color="auto"/>
        <w:left w:val="none" w:sz="0" w:space="0" w:color="auto"/>
        <w:bottom w:val="none" w:sz="0" w:space="0" w:color="auto"/>
        <w:right w:val="none" w:sz="0" w:space="0" w:color="auto"/>
      </w:divBdr>
    </w:div>
    <w:div w:id="1248618450">
      <w:marLeft w:val="0"/>
      <w:marRight w:val="0"/>
      <w:marTop w:val="100"/>
      <w:marBottom w:val="0"/>
      <w:divBdr>
        <w:top w:val="none" w:sz="0" w:space="0" w:color="auto"/>
        <w:left w:val="none" w:sz="0" w:space="0" w:color="auto"/>
        <w:bottom w:val="none" w:sz="0" w:space="0" w:color="auto"/>
        <w:right w:val="none" w:sz="0" w:space="0" w:color="auto"/>
      </w:divBdr>
    </w:div>
    <w:div w:id="1249582981">
      <w:marLeft w:val="0"/>
      <w:marRight w:val="0"/>
      <w:marTop w:val="280"/>
      <w:marBottom w:val="0"/>
      <w:divBdr>
        <w:top w:val="none" w:sz="0" w:space="0" w:color="auto"/>
        <w:left w:val="none" w:sz="0" w:space="0" w:color="auto"/>
        <w:bottom w:val="none" w:sz="0" w:space="0" w:color="auto"/>
        <w:right w:val="none" w:sz="0" w:space="0" w:color="auto"/>
      </w:divBdr>
    </w:div>
    <w:div w:id="1254975745">
      <w:marLeft w:val="0"/>
      <w:marRight w:val="0"/>
      <w:marTop w:val="100"/>
      <w:marBottom w:val="0"/>
      <w:divBdr>
        <w:top w:val="none" w:sz="0" w:space="0" w:color="auto"/>
        <w:left w:val="none" w:sz="0" w:space="0" w:color="auto"/>
        <w:bottom w:val="none" w:sz="0" w:space="0" w:color="auto"/>
        <w:right w:val="none" w:sz="0" w:space="0" w:color="auto"/>
      </w:divBdr>
    </w:div>
    <w:div w:id="1255675243">
      <w:marLeft w:val="0"/>
      <w:marRight w:val="0"/>
      <w:marTop w:val="280"/>
      <w:marBottom w:val="0"/>
      <w:divBdr>
        <w:top w:val="none" w:sz="0" w:space="0" w:color="auto"/>
        <w:left w:val="none" w:sz="0" w:space="0" w:color="auto"/>
        <w:bottom w:val="none" w:sz="0" w:space="0" w:color="auto"/>
        <w:right w:val="none" w:sz="0" w:space="0" w:color="auto"/>
      </w:divBdr>
    </w:div>
    <w:div w:id="1263611161">
      <w:marLeft w:val="0"/>
      <w:marRight w:val="0"/>
      <w:marTop w:val="100"/>
      <w:marBottom w:val="0"/>
      <w:divBdr>
        <w:top w:val="none" w:sz="0" w:space="0" w:color="auto"/>
        <w:left w:val="none" w:sz="0" w:space="0" w:color="auto"/>
        <w:bottom w:val="none" w:sz="0" w:space="0" w:color="auto"/>
        <w:right w:val="none" w:sz="0" w:space="0" w:color="auto"/>
      </w:divBdr>
    </w:div>
    <w:div w:id="1263684743">
      <w:marLeft w:val="0"/>
      <w:marRight w:val="0"/>
      <w:marTop w:val="100"/>
      <w:marBottom w:val="0"/>
      <w:divBdr>
        <w:top w:val="none" w:sz="0" w:space="0" w:color="auto"/>
        <w:left w:val="none" w:sz="0" w:space="0" w:color="auto"/>
        <w:bottom w:val="none" w:sz="0" w:space="0" w:color="auto"/>
        <w:right w:val="none" w:sz="0" w:space="0" w:color="auto"/>
      </w:divBdr>
    </w:div>
    <w:div w:id="1273320628">
      <w:marLeft w:val="0"/>
      <w:marRight w:val="0"/>
      <w:marTop w:val="280"/>
      <w:marBottom w:val="0"/>
      <w:divBdr>
        <w:top w:val="none" w:sz="0" w:space="0" w:color="auto"/>
        <w:left w:val="none" w:sz="0" w:space="0" w:color="auto"/>
        <w:bottom w:val="none" w:sz="0" w:space="0" w:color="auto"/>
        <w:right w:val="none" w:sz="0" w:space="0" w:color="auto"/>
      </w:divBdr>
    </w:div>
    <w:div w:id="1274902628">
      <w:marLeft w:val="0"/>
      <w:marRight w:val="0"/>
      <w:marTop w:val="180"/>
      <w:marBottom w:val="0"/>
      <w:divBdr>
        <w:top w:val="none" w:sz="0" w:space="0" w:color="auto"/>
        <w:left w:val="none" w:sz="0" w:space="0" w:color="auto"/>
        <w:bottom w:val="none" w:sz="0" w:space="0" w:color="auto"/>
        <w:right w:val="none" w:sz="0" w:space="0" w:color="auto"/>
      </w:divBdr>
    </w:div>
    <w:div w:id="1280065493">
      <w:marLeft w:val="0"/>
      <w:marRight w:val="0"/>
      <w:marTop w:val="280"/>
      <w:marBottom w:val="0"/>
      <w:divBdr>
        <w:top w:val="none" w:sz="0" w:space="0" w:color="auto"/>
        <w:left w:val="none" w:sz="0" w:space="0" w:color="auto"/>
        <w:bottom w:val="none" w:sz="0" w:space="0" w:color="auto"/>
        <w:right w:val="none" w:sz="0" w:space="0" w:color="auto"/>
      </w:divBdr>
    </w:div>
    <w:div w:id="1281959655">
      <w:marLeft w:val="0"/>
      <w:marRight w:val="0"/>
      <w:marTop w:val="280"/>
      <w:marBottom w:val="0"/>
      <w:divBdr>
        <w:top w:val="none" w:sz="0" w:space="0" w:color="auto"/>
        <w:left w:val="none" w:sz="0" w:space="0" w:color="auto"/>
        <w:bottom w:val="none" w:sz="0" w:space="0" w:color="auto"/>
        <w:right w:val="none" w:sz="0" w:space="0" w:color="auto"/>
      </w:divBdr>
    </w:div>
    <w:div w:id="1283850869">
      <w:marLeft w:val="0"/>
      <w:marRight w:val="0"/>
      <w:marTop w:val="100"/>
      <w:marBottom w:val="0"/>
      <w:divBdr>
        <w:top w:val="none" w:sz="0" w:space="0" w:color="auto"/>
        <w:left w:val="none" w:sz="0" w:space="0" w:color="auto"/>
        <w:bottom w:val="none" w:sz="0" w:space="0" w:color="auto"/>
        <w:right w:val="none" w:sz="0" w:space="0" w:color="auto"/>
      </w:divBdr>
    </w:div>
    <w:div w:id="1288321440">
      <w:marLeft w:val="0"/>
      <w:marRight w:val="0"/>
      <w:marTop w:val="100"/>
      <w:marBottom w:val="0"/>
      <w:divBdr>
        <w:top w:val="none" w:sz="0" w:space="0" w:color="auto"/>
        <w:left w:val="none" w:sz="0" w:space="0" w:color="auto"/>
        <w:bottom w:val="none" w:sz="0" w:space="0" w:color="auto"/>
        <w:right w:val="none" w:sz="0" w:space="0" w:color="auto"/>
      </w:divBdr>
    </w:div>
    <w:div w:id="1290629260">
      <w:marLeft w:val="0"/>
      <w:marRight w:val="0"/>
      <w:marTop w:val="0"/>
      <w:marBottom w:val="0"/>
      <w:divBdr>
        <w:top w:val="none" w:sz="0" w:space="0" w:color="auto"/>
        <w:left w:val="none" w:sz="0" w:space="0" w:color="auto"/>
        <w:bottom w:val="none" w:sz="0" w:space="0" w:color="auto"/>
        <w:right w:val="none" w:sz="0" w:space="0" w:color="auto"/>
      </w:divBdr>
      <w:divsChild>
        <w:div w:id="1680228208">
          <w:marLeft w:val="0"/>
          <w:marRight w:val="0"/>
          <w:marTop w:val="0"/>
          <w:marBottom w:val="0"/>
          <w:divBdr>
            <w:top w:val="none" w:sz="0" w:space="0" w:color="auto"/>
            <w:left w:val="none" w:sz="0" w:space="0" w:color="auto"/>
            <w:bottom w:val="none" w:sz="0" w:space="0" w:color="auto"/>
            <w:right w:val="none" w:sz="0" w:space="0" w:color="auto"/>
          </w:divBdr>
        </w:div>
      </w:divsChild>
    </w:div>
    <w:div w:id="1292245508">
      <w:marLeft w:val="0"/>
      <w:marRight w:val="0"/>
      <w:marTop w:val="0"/>
      <w:marBottom w:val="0"/>
      <w:divBdr>
        <w:top w:val="none" w:sz="0" w:space="0" w:color="auto"/>
        <w:left w:val="none" w:sz="0" w:space="0" w:color="auto"/>
        <w:bottom w:val="none" w:sz="0" w:space="0" w:color="auto"/>
        <w:right w:val="none" w:sz="0" w:space="0" w:color="auto"/>
      </w:divBdr>
    </w:div>
    <w:div w:id="1315796987">
      <w:marLeft w:val="0"/>
      <w:marRight w:val="0"/>
      <w:marTop w:val="100"/>
      <w:marBottom w:val="0"/>
      <w:divBdr>
        <w:top w:val="none" w:sz="0" w:space="0" w:color="auto"/>
        <w:left w:val="none" w:sz="0" w:space="0" w:color="auto"/>
        <w:bottom w:val="none" w:sz="0" w:space="0" w:color="auto"/>
        <w:right w:val="none" w:sz="0" w:space="0" w:color="auto"/>
      </w:divBdr>
    </w:div>
    <w:div w:id="1322344415">
      <w:marLeft w:val="0"/>
      <w:marRight w:val="0"/>
      <w:marTop w:val="100"/>
      <w:marBottom w:val="0"/>
      <w:divBdr>
        <w:top w:val="none" w:sz="0" w:space="0" w:color="auto"/>
        <w:left w:val="none" w:sz="0" w:space="0" w:color="auto"/>
        <w:bottom w:val="none" w:sz="0" w:space="0" w:color="auto"/>
        <w:right w:val="none" w:sz="0" w:space="0" w:color="auto"/>
      </w:divBdr>
      <w:divsChild>
        <w:div w:id="1234006956">
          <w:marLeft w:val="0"/>
          <w:marRight w:val="0"/>
          <w:marTop w:val="0"/>
          <w:marBottom w:val="0"/>
          <w:divBdr>
            <w:top w:val="none" w:sz="0" w:space="0" w:color="auto"/>
            <w:left w:val="none" w:sz="0" w:space="0" w:color="auto"/>
            <w:bottom w:val="none" w:sz="0" w:space="0" w:color="auto"/>
            <w:right w:val="none" w:sz="0" w:space="0" w:color="auto"/>
          </w:divBdr>
        </w:div>
      </w:divsChild>
    </w:div>
    <w:div w:id="1323318052">
      <w:marLeft w:val="0"/>
      <w:marRight w:val="0"/>
      <w:marTop w:val="0"/>
      <w:marBottom w:val="0"/>
      <w:divBdr>
        <w:top w:val="none" w:sz="0" w:space="0" w:color="auto"/>
        <w:left w:val="none" w:sz="0" w:space="0" w:color="auto"/>
        <w:bottom w:val="none" w:sz="0" w:space="0" w:color="auto"/>
        <w:right w:val="none" w:sz="0" w:space="0" w:color="auto"/>
      </w:divBdr>
    </w:div>
    <w:div w:id="1326786983">
      <w:marLeft w:val="0"/>
      <w:marRight w:val="0"/>
      <w:marTop w:val="100"/>
      <w:marBottom w:val="0"/>
      <w:divBdr>
        <w:top w:val="none" w:sz="0" w:space="0" w:color="auto"/>
        <w:left w:val="none" w:sz="0" w:space="0" w:color="auto"/>
        <w:bottom w:val="none" w:sz="0" w:space="0" w:color="auto"/>
        <w:right w:val="none" w:sz="0" w:space="0" w:color="auto"/>
      </w:divBdr>
    </w:div>
    <w:div w:id="1329872032">
      <w:marLeft w:val="0"/>
      <w:marRight w:val="0"/>
      <w:marTop w:val="0"/>
      <w:marBottom w:val="0"/>
      <w:divBdr>
        <w:top w:val="none" w:sz="0" w:space="0" w:color="auto"/>
        <w:left w:val="none" w:sz="0" w:space="0" w:color="auto"/>
        <w:bottom w:val="none" w:sz="0" w:space="0" w:color="auto"/>
        <w:right w:val="none" w:sz="0" w:space="0" w:color="auto"/>
      </w:divBdr>
    </w:div>
    <w:div w:id="1335494832">
      <w:marLeft w:val="0"/>
      <w:marRight w:val="0"/>
      <w:marTop w:val="100"/>
      <w:marBottom w:val="0"/>
      <w:divBdr>
        <w:top w:val="none" w:sz="0" w:space="0" w:color="auto"/>
        <w:left w:val="none" w:sz="0" w:space="0" w:color="auto"/>
        <w:bottom w:val="none" w:sz="0" w:space="0" w:color="auto"/>
        <w:right w:val="none" w:sz="0" w:space="0" w:color="auto"/>
      </w:divBdr>
    </w:div>
    <w:div w:id="1336490939">
      <w:marLeft w:val="0"/>
      <w:marRight w:val="0"/>
      <w:marTop w:val="100"/>
      <w:marBottom w:val="0"/>
      <w:divBdr>
        <w:top w:val="none" w:sz="0" w:space="0" w:color="auto"/>
        <w:left w:val="none" w:sz="0" w:space="0" w:color="auto"/>
        <w:bottom w:val="none" w:sz="0" w:space="0" w:color="auto"/>
        <w:right w:val="none" w:sz="0" w:space="0" w:color="auto"/>
      </w:divBdr>
    </w:div>
    <w:div w:id="1336768540">
      <w:marLeft w:val="0"/>
      <w:marRight w:val="0"/>
      <w:marTop w:val="160"/>
      <w:marBottom w:val="100"/>
      <w:divBdr>
        <w:top w:val="none" w:sz="0" w:space="0" w:color="auto"/>
        <w:left w:val="none" w:sz="0" w:space="0" w:color="auto"/>
        <w:bottom w:val="none" w:sz="0" w:space="0" w:color="auto"/>
        <w:right w:val="none" w:sz="0" w:space="0" w:color="auto"/>
      </w:divBdr>
      <w:divsChild>
        <w:div w:id="491994521">
          <w:marLeft w:val="0"/>
          <w:marRight w:val="0"/>
          <w:marTop w:val="0"/>
          <w:marBottom w:val="0"/>
          <w:divBdr>
            <w:top w:val="none" w:sz="0" w:space="0" w:color="auto"/>
            <w:left w:val="none" w:sz="0" w:space="0" w:color="auto"/>
            <w:bottom w:val="none" w:sz="0" w:space="0" w:color="auto"/>
            <w:right w:val="none" w:sz="0" w:space="0" w:color="auto"/>
          </w:divBdr>
        </w:div>
        <w:div w:id="664749950">
          <w:marLeft w:val="0"/>
          <w:marRight w:val="0"/>
          <w:marTop w:val="0"/>
          <w:marBottom w:val="0"/>
          <w:divBdr>
            <w:top w:val="none" w:sz="0" w:space="0" w:color="auto"/>
            <w:left w:val="none" w:sz="0" w:space="0" w:color="auto"/>
            <w:bottom w:val="none" w:sz="0" w:space="0" w:color="auto"/>
            <w:right w:val="none" w:sz="0" w:space="0" w:color="auto"/>
          </w:divBdr>
        </w:div>
        <w:div w:id="1467970222">
          <w:marLeft w:val="0"/>
          <w:marRight w:val="0"/>
          <w:marTop w:val="0"/>
          <w:marBottom w:val="0"/>
          <w:divBdr>
            <w:top w:val="none" w:sz="0" w:space="0" w:color="auto"/>
            <w:left w:val="none" w:sz="0" w:space="0" w:color="auto"/>
            <w:bottom w:val="none" w:sz="0" w:space="0" w:color="auto"/>
            <w:right w:val="none" w:sz="0" w:space="0" w:color="auto"/>
          </w:divBdr>
        </w:div>
        <w:div w:id="685640649">
          <w:marLeft w:val="0"/>
          <w:marRight w:val="0"/>
          <w:marTop w:val="0"/>
          <w:marBottom w:val="0"/>
          <w:divBdr>
            <w:top w:val="none" w:sz="0" w:space="0" w:color="auto"/>
            <w:left w:val="none" w:sz="0" w:space="0" w:color="auto"/>
            <w:bottom w:val="none" w:sz="0" w:space="0" w:color="auto"/>
            <w:right w:val="none" w:sz="0" w:space="0" w:color="auto"/>
          </w:divBdr>
        </w:div>
        <w:div w:id="577054372">
          <w:marLeft w:val="0"/>
          <w:marRight w:val="0"/>
          <w:marTop w:val="0"/>
          <w:marBottom w:val="0"/>
          <w:divBdr>
            <w:top w:val="none" w:sz="0" w:space="0" w:color="auto"/>
            <w:left w:val="none" w:sz="0" w:space="0" w:color="auto"/>
            <w:bottom w:val="none" w:sz="0" w:space="0" w:color="auto"/>
            <w:right w:val="none" w:sz="0" w:space="0" w:color="auto"/>
          </w:divBdr>
        </w:div>
        <w:div w:id="1750106106">
          <w:marLeft w:val="0"/>
          <w:marRight w:val="0"/>
          <w:marTop w:val="0"/>
          <w:marBottom w:val="0"/>
          <w:divBdr>
            <w:top w:val="none" w:sz="0" w:space="0" w:color="auto"/>
            <w:left w:val="none" w:sz="0" w:space="0" w:color="auto"/>
            <w:bottom w:val="none" w:sz="0" w:space="0" w:color="auto"/>
            <w:right w:val="none" w:sz="0" w:space="0" w:color="auto"/>
          </w:divBdr>
        </w:div>
        <w:div w:id="1502158574">
          <w:marLeft w:val="0"/>
          <w:marRight w:val="0"/>
          <w:marTop w:val="0"/>
          <w:marBottom w:val="0"/>
          <w:divBdr>
            <w:top w:val="none" w:sz="0" w:space="0" w:color="auto"/>
            <w:left w:val="none" w:sz="0" w:space="0" w:color="auto"/>
            <w:bottom w:val="none" w:sz="0" w:space="0" w:color="auto"/>
            <w:right w:val="none" w:sz="0" w:space="0" w:color="auto"/>
          </w:divBdr>
        </w:div>
        <w:div w:id="271057820">
          <w:marLeft w:val="0"/>
          <w:marRight w:val="0"/>
          <w:marTop w:val="0"/>
          <w:marBottom w:val="0"/>
          <w:divBdr>
            <w:top w:val="none" w:sz="0" w:space="0" w:color="auto"/>
            <w:left w:val="none" w:sz="0" w:space="0" w:color="auto"/>
            <w:bottom w:val="none" w:sz="0" w:space="0" w:color="auto"/>
            <w:right w:val="none" w:sz="0" w:space="0" w:color="auto"/>
          </w:divBdr>
        </w:div>
      </w:divsChild>
    </w:div>
    <w:div w:id="1339386549">
      <w:marLeft w:val="0"/>
      <w:marRight w:val="0"/>
      <w:marTop w:val="2500"/>
      <w:marBottom w:val="0"/>
      <w:divBdr>
        <w:top w:val="none" w:sz="0" w:space="0" w:color="auto"/>
        <w:left w:val="none" w:sz="0" w:space="0" w:color="auto"/>
        <w:bottom w:val="none" w:sz="0" w:space="0" w:color="auto"/>
        <w:right w:val="none" w:sz="0" w:space="0" w:color="auto"/>
      </w:divBdr>
    </w:div>
    <w:div w:id="1339577355">
      <w:marLeft w:val="0"/>
      <w:marRight w:val="0"/>
      <w:marTop w:val="100"/>
      <w:marBottom w:val="100"/>
      <w:divBdr>
        <w:top w:val="none" w:sz="0" w:space="0" w:color="auto"/>
        <w:left w:val="none" w:sz="0" w:space="0" w:color="auto"/>
        <w:bottom w:val="none" w:sz="0" w:space="0" w:color="auto"/>
        <w:right w:val="none" w:sz="0" w:space="0" w:color="auto"/>
      </w:divBdr>
    </w:div>
    <w:div w:id="1348210958">
      <w:marLeft w:val="0"/>
      <w:marRight w:val="0"/>
      <w:marTop w:val="280"/>
      <w:marBottom w:val="0"/>
      <w:divBdr>
        <w:top w:val="none" w:sz="0" w:space="0" w:color="auto"/>
        <w:left w:val="none" w:sz="0" w:space="0" w:color="auto"/>
        <w:bottom w:val="none" w:sz="0" w:space="0" w:color="auto"/>
        <w:right w:val="none" w:sz="0" w:space="0" w:color="auto"/>
      </w:divBdr>
    </w:div>
    <w:div w:id="1351295837">
      <w:marLeft w:val="0"/>
      <w:marRight w:val="0"/>
      <w:marTop w:val="100"/>
      <w:marBottom w:val="0"/>
      <w:divBdr>
        <w:top w:val="none" w:sz="0" w:space="0" w:color="auto"/>
        <w:left w:val="none" w:sz="0" w:space="0" w:color="auto"/>
        <w:bottom w:val="none" w:sz="0" w:space="0" w:color="auto"/>
        <w:right w:val="none" w:sz="0" w:space="0" w:color="auto"/>
      </w:divBdr>
    </w:div>
    <w:div w:id="1355033431">
      <w:marLeft w:val="0"/>
      <w:marRight w:val="0"/>
      <w:marTop w:val="100"/>
      <w:marBottom w:val="0"/>
      <w:divBdr>
        <w:top w:val="none" w:sz="0" w:space="0" w:color="auto"/>
        <w:left w:val="none" w:sz="0" w:space="0" w:color="auto"/>
        <w:bottom w:val="none" w:sz="0" w:space="0" w:color="auto"/>
        <w:right w:val="none" w:sz="0" w:space="0" w:color="auto"/>
      </w:divBdr>
    </w:div>
    <w:div w:id="1357579629">
      <w:marLeft w:val="0"/>
      <w:marRight w:val="0"/>
      <w:marTop w:val="280"/>
      <w:marBottom w:val="0"/>
      <w:divBdr>
        <w:top w:val="none" w:sz="0" w:space="0" w:color="auto"/>
        <w:left w:val="none" w:sz="0" w:space="0" w:color="auto"/>
        <w:bottom w:val="none" w:sz="0" w:space="0" w:color="auto"/>
        <w:right w:val="none" w:sz="0" w:space="0" w:color="auto"/>
      </w:divBdr>
    </w:div>
    <w:div w:id="1359501872">
      <w:marLeft w:val="0"/>
      <w:marRight w:val="0"/>
      <w:marTop w:val="100"/>
      <w:marBottom w:val="0"/>
      <w:divBdr>
        <w:top w:val="none" w:sz="0" w:space="0" w:color="auto"/>
        <w:left w:val="none" w:sz="0" w:space="0" w:color="auto"/>
        <w:bottom w:val="none" w:sz="0" w:space="0" w:color="auto"/>
        <w:right w:val="none" w:sz="0" w:space="0" w:color="auto"/>
      </w:divBdr>
    </w:div>
    <w:div w:id="1360932903">
      <w:marLeft w:val="0"/>
      <w:marRight w:val="0"/>
      <w:marTop w:val="40"/>
      <w:marBottom w:val="0"/>
      <w:divBdr>
        <w:top w:val="none" w:sz="0" w:space="0" w:color="auto"/>
        <w:left w:val="none" w:sz="0" w:space="0" w:color="auto"/>
        <w:bottom w:val="none" w:sz="0" w:space="0" w:color="auto"/>
        <w:right w:val="none" w:sz="0" w:space="0" w:color="auto"/>
      </w:divBdr>
    </w:div>
    <w:div w:id="1364745257">
      <w:marLeft w:val="0"/>
      <w:marRight w:val="0"/>
      <w:marTop w:val="280"/>
      <w:marBottom w:val="0"/>
      <w:divBdr>
        <w:top w:val="none" w:sz="0" w:space="0" w:color="auto"/>
        <w:left w:val="none" w:sz="0" w:space="0" w:color="auto"/>
        <w:bottom w:val="none" w:sz="0" w:space="0" w:color="auto"/>
        <w:right w:val="none" w:sz="0" w:space="0" w:color="auto"/>
      </w:divBdr>
    </w:div>
    <w:div w:id="1370692031">
      <w:marLeft w:val="0"/>
      <w:marRight w:val="0"/>
      <w:marTop w:val="0"/>
      <w:marBottom w:val="0"/>
      <w:divBdr>
        <w:top w:val="none" w:sz="0" w:space="0" w:color="auto"/>
        <w:left w:val="none" w:sz="0" w:space="0" w:color="auto"/>
        <w:bottom w:val="none" w:sz="0" w:space="0" w:color="auto"/>
        <w:right w:val="none" w:sz="0" w:space="0" w:color="auto"/>
      </w:divBdr>
      <w:divsChild>
        <w:div w:id="768306869">
          <w:marLeft w:val="0"/>
          <w:marRight w:val="0"/>
          <w:marTop w:val="0"/>
          <w:marBottom w:val="0"/>
          <w:divBdr>
            <w:top w:val="none" w:sz="0" w:space="0" w:color="auto"/>
            <w:left w:val="none" w:sz="0" w:space="0" w:color="auto"/>
            <w:bottom w:val="none" w:sz="0" w:space="0" w:color="auto"/>
            <w:right w:val="none" w:sz="0" w:space="0" w:color="auto"/>
          </w:divBdr>
        </w:div>
      </w:divsChild>
    </w:div>
    <w:div w:id="1371883204">
      <w:marLeft w:val="0"/>
      <w:marRight w:val="0"/>
      <w:marTop w:val="280"/>
      <w:marBottom w:val="0"/>
      <w:divBdr>
        <w:top w:val="none" w:sz="0" w:space="0" w:color="auto"/>
        <w:left w:val="none" w:sz="0" w:space="0" w:color="auto"/>
        <w:bottom w:val="none" w:sz="0" w:space="0" w:color="auto"/>
        <w:right w:val="none" w:sz="0" w:space="0" w:color="auto"/>
      </w:divBdr>
    </w:div>
    <w:div w:id="1374231284">
      <w:marLeft w:val="0"/>
      <w:marRight w:val="0"/>
      <w:marTop w:val="280"/>
      <w:marBottom w:val="0"/>
      <w:divBdr>
        <w:top w:val="none" w:sz="0" w:space="0" w:color="auto"/>
        <w:left w:val="none" w:sz="0" w:space="0" w:color="auto"/>
        <w:bottom w:val="none" w:sz="0" w:space="0" w:color="auto"/>
        <w:right w:val="none" w:sz="0" w:space="0" w:color="auto"/>
      </w:divBdr>
    </w:div>
    <w:div w:id="1376927425">
      <w:marLeft w:val="0"/>
      <w:marRight w:val="0"/>
      <w:marTop w:val="100"/>
      <w:marBottom w:val="0"/>
      <w:divBdr>
        <w:top w:val="none" w:sz="0" w:space="0" w:color="auto"/>
        <w:left w:val="none" w:sz="0" w:space="0" w:color="auto"/>
        <w:bottom w:val="none" w:sz="0" w:space="0" w:color="auto"/>
        <w:right w:val="none" w:sz="0" w:space="0" w:color="auto"/>
      </w:divBdr>
    </w:div>
    <w:div w:id="1386176500">
      <w:marLeft w:val="0"/>
      <w:marRight w:val="0"/>
      <w:marTop w:val="180"/>
      <w:marBottom w:val="0"/>
      <w:divBdr>
        <w:top w:val="none" w:sz="0" w:space="0" w:color="auto"/>
        <w:left w:val="none" w:sz="0" w:space="0" w:color="auto"/>
        <w:bottom w:val="none" w:sz="0" w:space="0" w:color="auto"/>
        <w:right w:val="none" w:sz="0" w:space="0" w:color="auto"/>
      </w:divBdr>
    </w:div>
    <w:div w:id="1391150458">
      <w:marLeft w:val="0"/>
      <w:marRight w:val="0"/>
      <w:marTop w:val="0"/>
      <w:marBottom w:val="0"/>
      <w:divBdr>
        <w:top w:val="none" w:sz="0" w:space="0" w:color="auto"/>
        <w:left w:val="none" w:sz="0" w:space="0" w:color="auto"/>
        <w:bottom w:val="none" w:sz="0" w:space="0" w:color="auto"/>
        <w:right w:val="none" w:sz="0" w:space="0" w:color="auto"/>
      </w:divBdr>
    </w:div>
    <w:div w:id="1396003118">
      <w:marLeft w:val="0"/>
      <w:marRight w:val="0"/>
      <w:marTop w:val="100"/>
      <w:marBottom w:val="0"/>
      <w:divBdr>
        <w:top w:val="none" w:sz="0" w:space="0" w:color="auto"/>
        <w:left w:val="none" w:sz="0" w:space="0" w:color="auto"/>
        <w:bottom w:val="none" w:sz="0" w:space="0" w:color="auto"/>
        <w:right w:val="none" w:sz="0" w:space="0" w:color="auto"/>
      </w:divBdr>
    </w:div>
    <w:div w:id="1406491693">
      <w:marLeft w:val="0"/>
      <w:marRight w:val="0"/>
      <w:marTop w:val="60"/>
      <w:marBottom w:val="0"/>
      <w:divBdr>
        <w:top w:val="none" w:sz="0" w:space="0" w:color="auto"/>
        <w:left w:val="none" w:sz="0" w:space="0" w:color="auto"/>
        <w:bottom w:val="none" w:sz="0" w:space="0" w:color="auto"/>
        <w:right w:val="none" w:sz="0" w:space="0" w:color="auto"/>
      </w:divBdr>
    </w:div>
    <w:div w:id="1410619223">
      <w:marLeft w:val="0"/>
      <w:marRight w:val="0"/>
      <w:marTop w:val="100"/>
      <w:marBottom w:val="0"/>
      <w:divBdr>
        <w:top w:val="none" w:sz="0" w:space="0" w:color="auto"/>
        <w:left w:val="none" w:sz="0" w:space="0" w:color="auto"/>
        <w:bottom w:val="none" w:sz="0" w:space="0" w:color="auto"/>
        <w:right w:val="none" w:sz="0" w:space="0" w:color="auto"/>
      </w:divBdr>
    </w:div>
    <w:div w:id="1415398541">
      <w:marLeft w:val="0"/>
      <w:marRight w:val="0"/>
      <w:marTop w:val="280"/>
      <w:marBottom w:val="0"/>
      <w:divBdr>
        <w:top w:val="none" w:sz="0" w:space="0" w:color="auto"/>
        <w:left w:val="none" w:sz="0" w:space="0" w:color="auto"/>
        <w:bottom w:val="none" w:sz="0" w:space="0" w:color="auto"/>
        <w:right w:val="none" w:sz="0" w:space="0" w:color="auto"/>
      </w:divBdr>
    </w:div>
    <w:div w:id="1418402072">
      <w:marLeft w:val="0"/>
      <w:marRight w:val="0"/>
      <w:marTop w:val="280"/>
      <w:marBottom w:val="0"/>
      <w:divBdr>
        <w:top w:val="none" w:sz="0" w:space="0" w:color="auto"/>
        <w:left w:val="none" w:sz="0" w:space="0" w:color="auto"/>
        <w:bottom w:val="none" w:sz="0" w:space="0" w:color="auto"/>
        <w:right w:val="none" w:sz="0" w:space="0" w:color="auto"/>
      </w:divBdr>
    </w:div>
    <w:div w:id="1421949158">
      <w:marLeft w:val="0"/>
      <w:marRight w:val="0"/>
      <w:marTop w:val="100"/>
      <w:marBottom w:val="100"/>
      <w:divBdr>
        <w:top w:val="none" w:sz="0" w:space="0" w:color="auto"/>
        <w:left w:val="none" w:sz="0" w:space="0" w:color="auto"/>
        <w:bottom w:val="none" w:sz="0" w:space="0" w:color="auto"/>
        <w:right w:val="none" w:sz="0" w:space="0" w:color="auto"/>
      </w:divBdr>
    </w:div>
    <w:div w:id="1424642254">
      <w:marLeft w:val="0"/>
      <w:marRight w:val="0"/>
      <w:marTop w:val="100"/>
      <w:marBottom w:val="0"/>
      <w:divBdr>
        <w:top w:val="none" w:sz="0" w:space="0" w:color="auto"/>
        <w:left w:val="none" w:sz="0" w:space="0" w:color="auto"/>
        <w:bottom w:val="none" w:sz="0" w:space="0" w:color="auto"/>
        <w:right w:val="none" w:sz="0" w:space="0" w:color="auto"/>
      </w:divBdr>
    </w:div>
    <w:div w:id="1426733108">
      <w:marLeft w:val="0"/>
      <w:marRight w:val="0"/>
      <w:marTop w:val="100"/>
      <w:marBottom w:val="0"/>
      <w:divBdr>
        <w:top w:val="none" w:sz="0" w:space="0" w:color="auto"/>
        <w:left w:val="none" w:sz="0" w:space="0" w:color="auto"/>
        <w:bottom w:val="none" w:sz="0" w:space="0" w:color="auto"/>
        <w:right w:val="none" w:sz="0" w:space="0" w:color="auto"/>
      </w:divBdr>
    </w:div>
    <w:div w:id="1436708532">
      <w:marLeft w:val="0"/>
      <w:marRight w:val="0"/>
      <w:marTop w:val="100"/>
      <w:marBottom w:val="100"/>
      <w:divBdr>
        <w:top w:val="none" w:sz="0" w:space="0" w:color="auto"/>
        <w:left w:val="none" w:sz="0" w:space="0" w:color="auto"/>
        <w:bottom w:val="none" w:sz="0" w:space="0" w:color="auto"/>
        <w:right w:val="none" w:sz="0" w:space="0" w:color="auto"/>
      </w:divBdr>
    </w:div>
    <w:div w:id="1448426831">
      <w:marLeft w:val="0"/>
      <w:marRight w:val="0"/>
      <w:marTop w:val="100"/>
      <w:marBottom w:val="0"/>
      <w:divBdr>
        <w:top w:val="none" w:sz="0" w:space="0" w:color="auto"/>
        <w:left w:val="none" w:sz="0" w:space="0" w:color="auto"/>
        <w:bottom w:val="none" w:sz="0" w:space="0" w:color="auto"/>
        <w:right w:val="none" w:sz="0" w:space="0" w:color="auto"/>
      </w:divBdr>
    </w:div>
    <w:div w:id="1448500073">
      <w:marLeft w:val="0"/>
      <w:marRight w:val="0"/>
      <w:marTop w:val="100"/>
      <w:marBottom w:val="0"/>
      <w:divBdr>
        <w:top w:val="none" w:sz="0" w:space="0" w:color="auto"/>
        <w:left w:val="none" w:sz="0" w:space="0" w:color="auto"/>
        <w:bottom w:val="none" w:sz="0" w:space="0" w:color="auto"/>
        <w:right w:val="none" w:sz="0" w:space="0" w:color="auto"/>
      </w:divBdr>
    </w:div>
    <w:div w:id="1450125141">
      <w:marLeft w:val="0"/>
      <w:marRight w:val="0"/>
      <w:marTop w:val="40"/>
      <w:marBottom w:val="0"/>
      <w:divBdr>
        <w:top w:val="none" w:sz="0" w:space="0" w:color="auto"/>
        <w:left w:val="none" w:sz="0" w:space="0" w:color="auto"/>
        <w:bottom w:val="none" w:sz="0" w:space="0" w:color="auto"/>
        <w:right w:val="none" w:sz="0" w:space="0" w:color="auto"/>
      </w:divBdr>
    </w:div>
    <w:div w:id="1452356749">
      <w:marLeft w:val="0"/>
      <w:marRight w:val="0"/>
      <w:marTop w:val="280"/>
      <w:marBottom w:val="0"/>
      <w:divBdr>
        <w:top w:val="none" w:sz="0" w:space="0" w:color="auto"/>
        <w:left w:val="none" w:sz="0" w:space="0" w:color="auto"/>
        <w:bottom w:val="none" w:sz="0" w:space="0" w:color="auto"/>
        <w:right w:val="none" w:sz="0" w:space="0" w:color="auto"/>
      </w:divBdr>
    </w:div>
    <w:div w:id="1454523128">
      <w:marLeft w:val="0"/>
      <w:marRight w:val="0"/>
      <w:marTop w:val="100"/>
      <w:marBottom w:val="0"/>
      <w:divBdr>
        <w:top w:val="none" w:sz="0" w:space="0" w:color="auto"/>
        <w:left w:val="none" w:sz="0" w:space="0" w:color="auto"/>
        <w:bottom w:val="none" w:sz="0" w:space="0" w:color="auto"/>
        <w:right w:val="none" w:sz="0" w:space="0" w:color="auto"/>
      </w:divBdr>
    </w:div>
    <w:div w:id="1460799155">
      <w:marLeft w:val="0"/>
      <w:marRight w:val="0"/>
      <w:marTop w:val="100"/>
      <w:marBottom w:val="0"/>
      <w:divBdr>
        <w:top w:val="none" w:sz="0" w:space="0" w:color="auto"/>
        <w:left w:val="none" w:sz="0" w:space="0" w:color="auto"/>
        <w:bottom w:val="none" w:sz="0" w:space="0" w:color="auto"/>
        <w:right w:val="none" w:sz="0" w:space="0" w:color="auto"/>
      </w:divBdr>
    </w:div>
    <w:div w:id="1462646227">
      <w:marLeft w:val="0"/>
      <w:marRight w:val="0"/>
      <w:marTop w:val="0"/>
      <w:marBottom w:val="0"/>
      <w:divBdr>
        <w:top w:val="none" w:sz="0" w:space="0" w:color="auto"/>
        <w:left w:val="none" w:sz="0" w:space="0" w:color="auto"/>
        <w:bottom w:val="none" w:sz="0" w:space="0" w:color="auto"/>
        <w:right w:val="none" w:sz="0" w:space="0" w:color="auto"/>
      </w:divBdr>
    </w:div>
    <w:div w:id="1463427351">
      <w:marLeft w:val="0"/>
      <w:marRight w:val="0"/>
      <w:marTop w:val="0"/>
      <w:marBottom w:val="0"/>
      <w:divBdr>
        <w:top w:val="none" w:sz="0" w:space="0" w:color="auto"/>
        <w:left w:val="none" w:sz="0" w:space="0" w:color="auto"/>
        <w:bottom w:val="none" w:sz="0" w:space="0" w:color="auto"/>
        <w:right w:val="none" w:sz="0" w:space="0" w:color="auto"/>
      </w:divBdr>
      <w:divsChild>
        <w:div w:id="1155297393">
          <w:marLeft w:val="0"/>
          <w:marRight w:val="0"/>
          <w:marTop w:val="0"/>
          <w:marBottom w:val="0"/>
          <w:divBdr>
            <w:top w:val="none" w:sz="0" w:space="0" w:color="auto"/>
            <w:left w:val="none" w:sz="0" w:space="0" w:color="auto"/>
            <w:bottom w:val="none" w:sz="0" w:space="0" w:color="auto"/>
            <w:right w:val="none" w:sz="0" w:space="0" w:color="auto"/>
          </w:divBdr>
        </w:div>
      </w:divsChild>
    </w:div>
    <w:div w:id="1466312820">
      <w:marLeft w:val="0"/>
      <w:marRight w:val="0"/>
      <w:marTop w:val="100"/>
      <w:marBottom w:val="0"/>
      <w:divBdr>
        <w:top w:val="none" w:sz="0" w:space="0" w:color="auto"/>
        <w:left w:val="none" w:sz="0" w:space="0" w:color="auto"/>
        <w:bottom w:val="none" w:sz="0" w:space="0" w:color="auto"/>
        <w:right w:val="none" w:sz="0" w:space="0" w:color="auto"/>
      </w:divBdr>
    </w:div>
    <w:div w:id="1471315731">
      <w:marLeft w:val="0"/>
      <w:marRight w:val="0"/>
      <w:marTop w:val="100"/>
      <w:marBottom w:val="0"/>
      <w:divBdr>
        <w:top w:val="none" w:sz="0" w:space="0" w:color="auto"/>
        <w:left w:val="none" w:sz="0" w:space="0" w:color="auto"/>
        <w:bottom w:val="none" w:sz="0" w:space="0" w:color="auto"/>
        <w:right w:val="none" w:sz="0" w:space="0" w:color="auto"/>
      </w:divBdr>
    </w:div>
    <w:div w:id="1472288583">
      <w:marLeft w:val="0"/>
      <w:marRight w:val="0"/>
      <w:marTop w:val="100"/>
      <w:marBottom w:val="0"/>
      <w:divBdr>
        <w:top w:val="none" w:sz="0" w:space="0" w:color="auto"/>
        <w:left w:val="none" w:sz="0" w:space="0" w:color="auto"/>
        <w:bottom w:val="none" w:sz="0" w:space="0" w:color="auto"/>
        <w:right w:val="none" w:sz="0" w:space="0" w:color="auto"/>
      </w:divBdr>
    </w:div>
    <w:div w:id="1472794409">
      <w:marLeft w:val="0"/>
      <w:marRight w:val="0"/>
      <w:marTop w:val="100"/>
      <w:marBottom w:val="0"/>
      <w:divBdr>
        <w:top w:val="none" w:sz="0" w:space="0" w:color="auto"/>
        <w:left w:val="none" w:sz="0" w:space="0" w:color="auto"/>
        <w:bottom w:val="none" w:sz="0" w:space="0" w:color="auto"/>
        <w:right w:val="none" w:sz="0" w:space="0" w:color="auto"/>
      </w:divBdr>
    </w:div>
    <w:div w:id="1474365684">
      <w:marLeft w:val="0"/>
      <w:marRight w:val="0"/>
      <w:marTop w:val="100"/>
      <w:marBottom w:val="0"/>
      <w:divBdr>
        <w:top w:val="none" w:sz="0" w:space="0" w:color="auto"/>
        <w:left w:val="none" w:sz="0" w:space="0" w:color="auto"/>
        <w:bottom w:val="none" w:sz="0" w:space="0" w:color="auto"/>
        <w:right w:val="none" w:sz="0" w:space="0" w:color="auto"/>
      </w:divBdr>
    </w:div>
    <w:div w:id="1484463998">
      <w:marLeft w:val="0"/>
      <w:marRight w:val="0"/>
      <w:marTop w:val="100"/>
      <w:marBottom w:val="0"/>
      <w:divBdr>
        <w:top w:val="none" w:sz="0" w:space="0" w:color="auto"/>
        <w:left w:val="none" w:sz="0" w:space="0" w:color="auto"/>
        <w:bottom w:val="none" w:sz="0" w:space="0" w:color="auto"/>
        <w:right w:val="none" w:sz="0" w:space="0" w:color="auto"/>
      </w:divBdr>
    </w:div>
    <w:div w:id="1491216781">
      <w:marLeft w:val="0"/>
      <w:marRight w:val="0"/>
      <w:marTop w:val="100"/>
      <w:marBottom w:val="100"/>
      <w:divBdr>
        <w:top w:val="none" w:sz="0" w:space="0" w:color="auto"/>
        <w:left w:val="none" w:sz="0" w:space="0" w:color="auto"/>
        <w:bottom w:val="none" w:sz="0" w:space="0" w:color="auto"/>
        <w:right w:val="none" w:sz="0" w:space="0" w:color="auto"/>
      </w:divBdr>
    </w:div>
    <w:div w:id="1494295962">
      <w:marLeft w:val="0"/>
      <w:marRight w:val="0"/>
      <w:marTop w:val="100"/>
      <w:marBottom w:val="100"/>
      <w:divBdr>
        <w:top w:val="none" w:sz="0" w:space="0" w:color="auto"/>
        <w:left w:val="none" w:sz="0" w:space="0" w:color="auto"/>
        <w:bottom w:val="none" w:sz="0" w:space="0" w:color="auto"/>
        <w:right w:val="none" w:sz="0" w:space="0" w:color="auto"/>
      </w:divBdr>
    </w:div>
    <w:div w:id="1501196866">
      <w:marLeft w:val="0"/>
      <w:marRight w:val="0"/>
      <w:marTop w:val="100"/>
      <w:marBottom w:val="0"/>
      <w:divBdr>
        <w:top w:val="none" w:sz="0" w:space="0" w:color="auto"/>
        <w:left w:val="none" w:sz="0" w:space="0" w:color="auto"/>
        <w:bottom w:val="none" w:sz="0" w:space="0" w:color="auto"/>
        <w:right w:val="none" w:sz="0" w:space="0" w:color="auto"/>
      </w:divBdr>
    </w:div>
    <w:div w:id="1503811950">
      <w:marLeft w:val="0"/>
      <w:marRight w:val="0"/>
      <w:marTop w:val="40"/>
      <w:marBottom w:val="0"/>
      <w:divBdr>
        <w:top w:val="none" w:sz="0" w:space="0" w:color="auto"/>
        <w:left w:val="none" w:sz="0" w:space="0" w:color="auto"/>
        <w:bottom w:val="none" w:sz="0" w:space="0" w:color="auto"/>
        <w:right w:val="none" w:sz="0" w:space="0" w:color="auto"/>
      </w:divBdr>
    </w:div>
    <w:div w:id="1504781255">
      <w:marLeft w:val="0"/>
      <w:marRight w:val="0"/>
      <w:marTop w:val="40"/>
      <w:marBottom w:val="0"/>
      <w:divBdr>
        <w:top w:val="none" w:sz="0" w:space="0" w:color="auto"/>
        <w:left w:val="none" w:sz="0" w:space="0" w:color="auto"/>
        <w:bottom w:val="none" w:sz="0" w:space="0" w:color="auto"/>
        <w:right w:val="none" w:sz="0" w:space="0" w:color="auto"/>
      </w:divBdr>
    </w:div>
    <w:div w:id="1516380596">
      <w:marLeft w:val="0"/>
      <w:marRight w:val="0"/>
      <w:marTop w:val="100"/>
      <w:marBottom w:val="120"/>
      <w:divBdr>
        <w:top w:val="none" w:sz="0" w:space="0" w:color="auto"/>
        <w:left w:val="none" w:sz="0" w:space="0" w:color="auto"/>
        <w:bottom w:val="none" w:sz="0" w:space="0" w:color="auto"/>
        <w:right w:val="none" w:sz="0" w:space="0" w:color="auto"/>
      </w:divBdr>
      <w:divsChild>
        <w:div w:id="1514954928">
          <w:marLeft w:val="0"/>
          <w:marRight w:val="0"/>
          <w:marTop w:val="0"/>
          <w:marBottom w:val="0"/>
          <w:divBdr>
            <w:top w:val="none" w:sz="0" w:space="0" w:color="auto"/>
            <w:left w:val="none" w:sz="0" w:space="0" w:color="auto"/>
            <w:bottom w:val="none" w:sz="0" w:space="0" w:color="auto"/>
            <w:right w:val="none" w:sz="0" w:space="0" w:color="auto"/>
          </w:divBdr>
        </w:div>
      </w:divsChild>
    </w:div>
    <w:div w:id="1517113900">
      <w:marLeft w:val="0"/>
      <w:marRight w:val="0"/>
      <w:marTop w:val="0"/>
      <w:marBottom w:val="0"/>
      <w:divBdr>
        <w:top w:val="none" w:sz="0" w:space="0" w:color="auto"/>
        <w:left w:val="none" w:sz="0" w:space="0" w:color="auto"/>
        <w:bottom w:val="none" w:sz="0" w:space="0" w:color="auto"/>
        <w:right w:val="none" w:sz="0" w:space="0" w:color="auto"/>
      </w:divBdr>
      <w:divsChild>
        <w:div w:id="2021424276">
          <w:marLeft w:val="0"/>
          <w:marRight w:val="0"/>
          <w:marTop w:val="0"/>
          <w:marBottom w:val="0"/>
          <w:divBdr>
            <w:top w:val="none" w:sz="0" w:space="0" w:color="auto"/>
            <w:left w:val="none" w:sz="0" w:space="0" w:color="auto"/>
            <w:bottom w:val="none" w:sz="0" w:space="0" w:color="auto"/>
            <w:right w:val="none" w:sz="0" w:space="0" w:color="auto"/>
          </w:divBdr>
        </w:div>
      </w:divsChild>
    </w:div>
    <w:div w:id="1522670123">
      <w:marLeft w:val="0"/>
      <w:marRight w:val="0"/>
      <w:marTop w:val="100"/>
      <w:marBottom w:val="0"/>
      <w:divBdr>
        <w:top w:val="none" w:sz="0" w:space="0" w:color="auto"/>
        <w:left w:val="none" w:sz="0" w:space="0" w:color="auto"/>
        <w:bottom w:val="none" w:sz="0" w:space="0" w:color="auto"/>
        <w:right w:val="none" w:sz="0" w:space="0" w:color="auto"/>
      </w:divBdr>
    </w:div>
    <w:div w:id="1538469377">
      <w:marLeft w:val="0"/>
      <w:marRight w:val="0"/>
      <w:marTop w:val="100"/>
      <w:marBottom w:val="0"/>
      <w:divBdr>
        <w:top w:val="none" w:sz="0" w:space="0" w:color="auto"/>
        <w:left w:val="none" w:sz="0" w:space="0" w:color="auto"/>
        <w:bottom w:val="none" w:sz="0" w:space="0" w:color="auto"/>
        <w:right w:val="none" w:sz="0" w:space="0" w:color="auto"/>
      </w:divBdr>
    </w:div>
    <w:div w:id="1541015545">
      <w:marLeft w:val="0"/>
      <w:marRight w:val="0"/>
      <w:marTop w:val="280"/>
      <w:marBottom w:val="0"/>
      <w:divBdr>
        <w:top w:val="none" w:sz="0" w:space="0" w:color="auto"/>
        <w:left w:val="none" w:sz="0" w:space="0" w:color="auto"/>
        <w:bottom w:val="none" w:sz="0" w:space="0" w:color="auto"/>
        <w:right w:val="none" w:sz="0" w:space="0" w:color="auto"/>
      </w:divBdr>
    </w:div>
    <w:div w:id="1541819147">
      <w:marLeft w:val="0"/>
      <w:marRight w:val="0"/>
      <w:marTop w:val="280"/>
      <w:marBottom w:val="0"/>
      <w:divBdr>
        <w:top w:val="none" w:sz="0" w:space="0" w:color="auto"/>
        <w:left w:val="none" w:sz="0" w:space="0" w:color="auto"/>
        <w:bottom w:val="none" w:sz="0" w:space="0" w:color="auto"/>
        <w:right w:val="none" w:sz="0" w:space="0" w:color="auto"/>
      </w:divBdr>
    </w:div>
    <w:div w:id="1548179618">
      <w:marLeft w:val="0"/>
      <w:marRight w:val="0"/>
      <w:marTop w:val="100"/>
      <w:marBottom w:val="0"/>
      <w:divBdr>
        <w:top w:val="none" w:sz="0" w:space="0" w:color="auto"/>
        <w:left w:val="none" w:sz="0" w:space="0" w:color="auto"/>
        <w:bottom w:val="none" w:sz="0" w:space="0" w:color="auto"/>
        <w:right w:val="none" w:sz="0" w:space="0" w:color="auto"/>
      </w:divBdr>
    </w:div>
    <w:div w:id="1550679360">
      <w:marLeft w:val="0"/>
      <w:marRight w:val="0"/>
      <w:marTop w:val="100"/>
      <w:marBottom w:val="0"/>
      <w:divBdr>
        <w:top w:val="none" w:sz="0" w:space="0" w:color="auto"/>
        <w:left w:val="none" w:sz="0" w:space="0" w:color="auto"/>
        <w:bottom w:val="none" w:sz="0" w:space="0" w:color="auto"/>
        <w:right w:val="none" w:sz="0" w:space="0" w:color="auto"/>
      </w:divBdr>
      <w:divsChild>
        <w:div w:id="335151759">
          <w:marLeft w:val="0"/>
          <w:marRight w:val="0"/>
          <w:marTop w:val="0"/>
          <w:marBottom w:val="0"/>
          <w:divBdr>
            <w:top w:val="none" w:sz="0" w:space="0" w:color="auto"/>
            <w:left w:val="none" w:sz="0" w:space="0" w:color="auto"/>
            <w:bottom w:val="none" w:sz="0" w:space="0" w:color="auto"/>
            <w:right w:val="none" w:sz="0" w:space="0" w:color="auto"/>
          </w:divBdr>
        </w:div>
        <w:div w:id="712385494">
          <w:marLeft w:val="0"/>
          <w:marRight w:val="0"/>
          <w:marTop w:val="0"/>
          <w:marBottom w:val="0"/>
          <w:divBdr>
            <w:top w:val="none" w:sz="0" w:space="0" w:color="auto"/>
            <w:left w:val="none" w:sz="0" w:space="0" w:color="auto"/>
            <w:bottom w:val="none" w:sz="0" w:space="0" w:color="auto"/>
            <w:right w:val="none" w:sz="0" w:space="0" w:color="auto"/>
          </w:divBdr>
        </w:div>
      </w:divsChild>
    </w:div>
    <w:div w:id="1551113336">
      <w:marLeft w:val="0"/>
      <w:marRight w:val="0"/>
      <w:marTop w:val="0"/>
      <w:marBottom w:val="0"/>
      <w:divBdr>
        <w:top w:val="none" w:sz="0" w:space="0" w:color="auto"/>
        <w:left w:val="none" w:sz="0" w:space="0" w:color="auto"/>
        <w:bottom w:val="none" w:sz="0" w:space="0" w:color="auto"/>
        <w:right w:val="none" w:sz="0" w:space="0" w:color="auto"/>
      </w:divBdr>
      <w:divsChild>
        <w:div w:id="649677818">
          <w:marLeft w:val="0"/>
          <w:marRight w:val="0"/>
          <w:marTop w:val="0"/>
          <w:marBottom w:val="0"/>
          <w:divBdr>
            <w:top w:val="none" w:sz="0" w:space="0" w:color="auto"/>
            <w:left w:val="none" w:sz="0" w:space="0" w:color="auto"/>
            <w:bottom w:val="none" w:sz="0" w:space="0" w:color="auto"/>
            <w:right w:val="none" w:sz="0" w:space="0" w:color="auto"/>
          </w:divBdr>
        </w:div>
      </w:divsChild>
    </w:div>
    <w:div w:id="1553081347">
      <w:marLeft w:val="0"/>
      <w:marRight w:val="0"/>
      <w:marTop w:val="280"/>
      <w:marBottom w:val="0"/>
      <w:divBdr>
        <w:top w:val="none" w:sz="0" w:space="0" w:color="auto"/>
        <w:left w:val="none" w:sz="0" w:space="0" w:color="auto"/>
        <w:bottom w:val="none" w:sz="0" w:space="0" w:color="auto"/>
        <w:right w:val="none" w:sz="0" w:space="0" w:color="auto"/>
      </w:divBdr>
    </w:div>
    <w:div w:id="1562517274">
      <w:marLeft w:val="0"/>
      <w:marRight w:val="0"/>
      <w:marTop w:val="0"/>
      <w:marBottom w:val="0"/>
      <w:divBdr>
        <w:top w:val="none" w:sz="0" w:space="0" w:color="auto"/>
        <w:left w:val="none" w:sz="0" w:space="0" w:color="auto"/>
        <w:bottom w:val="none" w:sz="0" w:space="0" w:color="auto"/>
        <w:right w:val="none" w:sz="0" w:space="0" w:color="auto"/>
      </w:divBdr>
      <w:divsChild>
        <w:div w:id="961769185">
          <w:marLeft w:val="0"/>
          <w:marRight w:val="0"/>
          <w:marTop w:val="0"/>
          <w:marBottom w:val="0"/>
          <w:divBdr>
            <w:top w:val="none" w:sz="0" w:space="0" w:color="auto"/>
            <w:left w:val="none" w:sz="0" w:space="0" w:color="auto"/>
            <w:bottom w:val="none" w:sz="0" w:space="0" w:color="auto"/>
            <w:right w:val="none" w:sz="0" w:space="0" w:color="auto"/>
          </w:divBdr>
        </w:div>
      </w:divsChild>
    </w:div>
    <w:div w:id="1571647852">
      <w:marLeft w:val="0"/>
      <w:marRight w:val="0"/>
      <w:marTop w:val="100"/>
      <w:marBottom w:val="0"/>
      <w:divBdr>
        <w:top w:val="none" w:sz="0" w:space="0" w:color="auto"/>
        <w:left w:val="none" w:sz="0" w:space="0" w:color="auto"/>
        <w:bottom w:val="none" w:sz="0" w:space="0" w:color="auto"/>
        <w:right w:val="none" w:sz="0" w:space="0" w:color="auto"/>
      </w:divBdr>
    </w:div>
    <w:div w:id="1581256397">
      <w:marLeft w:val="0"/>
      <w:marRight w:val="0"/>
      <w:marTop w:val="100"/>
      <w:marBottom w:val="0"/>
      <w:divBdr>
        <w:top w:val="none" w:sz="0" w:space="0" w:color="auto"/>
        <w:left w:val="none" w:sz="0" w:space="0" w:color="auto"/>
        <w:bottom w:val="none" w:sz="0" w:space="0" w:color="auto"/>
        <w:right w:val="none" w:sz="0" w:space="0" w:color="auto"/>
      </w:divBdr>
    </w:div>
    <w:div w:id="1582644407">
      <w:marLeft w:val="0"/>
      <w:marRight w:val="0"/>
      <w:marTop w:val="280"/>
      <w:marBottom w:val="0"/>
      <w:divBdr>
        <w:top w:val="none" w:sz="0" w:space="0" w:color="auto"/>
        <w:left w:val="none" w:sz="0" w:space="0" w:color="auto"/>
        <w:bottom w:val="none" w:sz="0" w:space="0" w:color="auto"/>
        <w:right w:val="none" w:sz="0" w:space="0" w:color="auto"/>
      </w:divBdr>
    </w:div>
    <w:div w:id="1585381431">
      <w:marLeft w:val="0"/>
      <w:marRight w:val="0"/>
      <w:marTop w:val="100"/>
      <w:marBottom w:val="0"/>
      <w:divBdr>
        <w:top w:val="none" w:sz="0" w:space="0" w:color="auto"/>
        <w:left w:val="none" w:sz="0" w:space="0" w:color="auto"/>
        <w:bottom w:val="none" w:sz="0" w:space="0" w:color="auto"/>
        <w:right w:val="none" w:sz="0" w:space="0" w:color="auto"/>
      </w:divBdr>
    </w:div>
    <w:div w:id="1594239208">
      <w:marLeft w:val="0"/>
      <w:marRight w:val="0"/>
      <w:marTop w:val="100"/>
      <w:marBottom w:val="0"/>
      <w:divBdr>
        <w:top w:val="none" w:sz="0" w:space="0" w:color="auto"/>
        <w:left w:val="none" w:sz="0" w:space="0" w:color="auto"/>
        <w:bottom w:val="none" w:sz="0" w:space="0" w:color="auto"/>
        <w:right w:val="none" w:sz="0" w:space="0" w:color="auto"/>
      </w:divBdr>
    </w:div>
    <w:div w:id="1597012923">
      <w:marLeft w:val="0"/>
      <w:marRight w:val="0"/>
      <w:marTop w:val="100"/>
      <w:marBottom w:val="0"/>
      <w:divBdr>
        <w:top w:val="none" w:sz="0" w:space="0" w:color="auto"/>
        <w:left w:val="none" w:sz="0" w:space="0" w:color="auto"/>
        <w:bottom w:val="none" w:sz="0" w:space="0" w:color="auto"/>
        <w:right w:val="none" w:sz="0" w:space="0" w:color="auto"/>
      </w:divBdr>
    </w:div>
    <w:div w:id="1598446296">
      <w:marLeft w:val="0"/>
      <w:marRight w:val="0"/>
      <w:marTop w:val="280"/>
      <w:marBottom w:val="0"/>
      <w:divBdr>
        <w:top w:val="none" w:sz="0" w:space="0" w:color="auto"/>
        <w:left w:val="none" w:sz="0" w:space="0" w:color="auto"/>
        <w:bottom w:val="none" w:sz="0" w:space="0" w:color="auto"/>
        <w:right w:val="none" w:sz="0" w:space="0" w:color="auto"/>
      </w:divBdr>
    </w:div>
    <w:div w:id="1607932033">
      <w:marLeft w:val="0"/>
      <w:marRight w:val="0"/>
      <w:marTop w:val="0"/>
      <w:marBottom w:val="0"/>
      <w:divBdr>
        <w:top w:val="none" w:sz="0" w:space="0" w:color="auto"/>
        <w:left w:val="none" w:sz="0" w:space="0" w:color="auto"/>
        <w:bottom w:val="none" w:sz="0" w:space="0" w:color="auto"/>
        <w:right w:val="none" w:sz="0" w:space="0" w:color="auto"/>
      </w:divBdr>
      <w:divsChild>
        <w:div w:id="406728583">
          <w:marLeft w:val="0"/>
          <w:marRight w:val="0"/>
          <w:marTop w:val="0"/>
          <w:marBottom w:val="0"/>
          <w:divBdr>
            <w:top w:val="none" w:sz="0" w:space="0" w:color="auto"/>
            <w:left w:val="none" w:sz="0" w:space="0" w:color="auto"/>
            <w:bottom w:val="none" w:sz="0" w:space="0" w:color="auto"/>
            <w:right w:val="none" w:sz="0" w:space="0" w:color="auto"/>
          </w:divBdr>
        </w:div>
      </w:divsChild>
    </w:div>
    <w:div w:id="1614631105">
      <w:marLeft w:val="0"/>
      <w:marRight w:val="0"/>
      <w:marTop w:val="280"/>
      <w:marBottom w:val="0"/>
      <w:divBdr>
        <w:top w:val="none" w:sz="0" w:space="0" w:color="auto"/>
        <w:left w:val="none" w:sz="0" w:space="0" w:color="auto"/>
        <w:bottom w:val="none" w:sz="0" w:space="0" w:color="auto"/>
        <w:right w:val="none" w:sz="0" w:space="0" w:color="auto"/>
      </w:divBdr>
    </w:div>
    <w:div w:id="1621301397">
      <w:marLeft w:val="0"/>
      <w:marRight w:val="0"/>
      <w:marTop w:val="100"/>
      <w:marBottom w:val="0"/>
      <w:divBdr>
        <w:top w:val="none" w:sz="0" w:space="0" w:color="auto"/>
        <w:left w:val="none" w:sz="0" w:space="0" w:color="auto"/>
        <w:bottom w:val="none" w:sz="0" w:space="0" w:color="auto"/>
        <w:right w:val="none" w:sz="0" w:space="0" w:color="auto"/>
      </w:divBdr>
    </w:div>
    <w:div w:id="1628002859">
      <w:marLeft w:val="0"/>
      <w:marRight w:val="0"/>
      <w:marTop w:val="280"/>
      <w:marBottom w:val="0"/>
      <w:divBdr>
        <w:top w:val="none" w:sz="0" w:space="0" w:color="auto"/>
        <w:left w:val="none" w:sz="0" w:space="0" w:color="auto"/>
        <w:bottom w:val="none" w:sz="0" w:space="0" w:color="auto"/>
        <w:right w:val="none" w:sz="0" w:space="0" w:color="auto"/>
      </w:divBdr>
    </w:div>
    <w:div w:id="1629774322">
      <w:marLeft w:val="0"/>
      <w:marRight w:val="0"/>
      <w:marTop w:val="0"/>
      <w:marBottom w:val="0"/>
      <w:divBdr>
        <w:top w:val="none" w:sz="0" w:space="0" w:color="auto"/>
        <w:left w:val="none" w:sz="0" w:space="0" w:color="auto"/>
        <w:bottom w:val="none" w:sz="0" w:space="0" w:color="auto"/>
        <w:right w:val="none" w:sz="0" w:space="0" w:color="auto"/>
      </w:divBdr>
      <w:divsChild>
        <w:div w:id="404108347">
          <w:marLeft w:val="0"/>
          <w:marRight w:val="0"/>
          <w:marTop w:val="0"/>
          <w:marBottom w:val="0"/>
          <w:divBdr>
            <w:top w:val="none" w:sz="0" w:space="0" w:color="auto"/>
            <w:left w:val="none" w:sz="0" w:space="0" w:color="auto"/>
            <w:bottom w:val="none" w:sz="0" w:space="0" w:color="auto"/>
            <w:right w:val="none" w:sz="0" w:space="0" w:color="auto"/>
          </w:divBdr>
        </w:div>
      </w:divsChild>
    </w:div>
    <w:div w:id="1640577461">
      <w:marLeft w:val="0"/>
      <w:marRight w:val="0"/>
      <w:marTop w:val="100"/>
      <w:marBottom w:val="0"/>
      <w:divBdr>
        <w:top w:val="none" w:sz="0" w:space="0" w:color="auto"/>
        <w:left w:val="none" w:sz="0" w:space="0" w:color="auto"/>
        <w:bottom w:val="none" w:sz="0" w:space="0" w:color="auto"/>
        <w:right w:val="none" w:sz="0" w:space="0" w:color="auto"/>
      </w:divBdr>
    </w:div>
    <w:div w:id="1645501212">
      <w:marLeft w:val="0"/>
      <w:marRight w:val="0"/>
      <w:marTop w:val="100"/>
      <w:marBottom w:val="0"/>
      <w:divBdr>
        <w:top w:val="none" w:sz="0" w:space="0" w:color="auto"/>
        <w:left w:val="none" w:sz="0" w:space="0" w:color="auto"/>
        <w:bottom w:val="none" w:sz="0" w:space="0" w:color="auto"/>
        <w:right w:val="none" w:sz="0" w:space="0" w:color="auto"/>
      </w:divBdr>
    </w:div>
    <w:div w:id="1649089468">
      <w:marLeft w:val="0"/>
      <w:marRight w:val="0"/>
      <w:marTop w:val="100"/>
      <w:marBottom w:val="0"/>
      <w:divBdr>
        <w:top w:val="none" w:sz="0" w:space="0" w:color="auto"/>
        <w:left w:val="none" w:sz="0" w:space="0" w:color="auto"/>
        <w:bottom w:val="none" w:sz="0" w:space="0" w:color="auto"/>
        <w:right w:val="none" w:sz="0" w:space="0" w:color="auto"/>
      </w:divBdr>
    </w:div>
    <w:div w:id="1657799894">
      <w:marLeft w:val="0"/>
      <w:marRight w:val="0"/>
      <w:marTop w:val="100"/>
      <w:marBottom w:val="0"/>
      <w:divBdr>
        <w:top w:val="none" w:sz="0" w:space="0" w:color="auto"/>
        <w:left w:val="none" w:sz="0" w:space="0" w:color="auto"/>
        <w:bottom w:val="none" w:sz="0" w:space="0" w:color="auto"/>
        <w:right w:val="none" w:sz="0" w:space="0" w:color="auto"/>
      </w:divBdr>
    </w:div>
    <w:div w:id="1659308286">
      <w:marLeft w:val="0"/>
      <w:marRight w:val="0"/>
      <w:marTop w:val="0"/>
      <w:marBottom w:val="0"/>
      <w:divBdr>
        <w:top w:val="none" w:sz="0" w:space="0" w:color="auto"/>
        <w:left w:val="none" w:sz="0" w:space="0" w:color="auto"/>
        <w:bottom w:val="none" w:sz="0" w:space="0" w:color="auto"/>
        <w:right w:val="none" w:sz="0" w:space="0" w:color="auto"/>
      </w:divBdr>
    </w:div>
    <w:div w:id="1659924379">
      <w:marLeft w:val="0"/>
      <w:marRight w:val="0"/>
      <w:marTop w:val="100"/>
      <w:marBottom w:val="0"/>
      <w:divBdr>
        <w:top w:val="none" w:sz="0" w:space="0" w:color="auto"/>
        <w:left w:val="none" w:sz="0" w:space="0" w:color="auto"/>
        <w:bottom w:val="none" w:sz="0" w:space="0" w:color="auto"/>
        <w:right w:val="none" w:sz="0" w:space="0" w:color="auto"/>
      </w:divBdr>
    </w:div>
    <w:div w:id="1661890276">
      <w:marLeft w:val="0"/>
      <w:marRight w:val="0"/>
      <w:marTop w:val="40"/>
      <w:marBottom w:val="0"/>
      <w:divBdr>
        <w:top w:val="none" w:sz="0" w:space="0" w:color="auto"/>
        <w:left w:val="none" w:sz="0" w:space="0" w:color="auto"/>
        <w:bottom w:val="none" w:sz="0" w:space="0" w:color="auto"/>
        <w:right w:val="none" w:sz="0" w:space="0" w:color="auto"/>
      </w:divBdr>
    </w:div>
    <w:div w:id="1667975661">
      <w:marLeft w:val="0"/>
      <w:marRight w:val="0"/>
      <w:marTop w:val="100"/>
      <w:marBottom w:val="0"/>
      <w:divBdr>
        <w:top w:val="none" w:sz="0" w:space="0" w:color="auto"/>
        <w:left w:val="none" w:sz="0" w:space="0" w:color="auto"/>
        <w:bottom w:val="none" w:sz="0" w:space="0" w:color="auto"/>
        <w:right w:val="none" w:sz="0" w:space="0" w:color="auto"/>
      </w:divBdr>
    </w:div>
    <w:div w:id="1669289149">
      <w:marLeft w:val="0"/>
      <w:marRight w:val="0"/>
      <w:marTop w:val="100"/>
      <w:marBottom w:val="0"/>
      <w:divBdr>
        <w:top w:val="none" w:sz="0" w:space="0" w:color="auto"/>
        <w:left w:val="none" w:sz="0" w:space="0" w:color="auto"/>
        <w:bottom w:val="none" w:sz="0" w:space="0" w:color="auto"/>
        <w:right w:val="none" w:sz="0" w:space="0" w:color="auto"/>
      </w:divBdr>
    </w:div>
    <w:div w:id="1678575364">
      <w:marLeft w:val="0"/>
      <w:marRight w:val="0"/>
      <w:marTop w:val="280"/>
      <w:marBottom w:val="0"/>
      <w:divBdr>
        <w:top w:val="none" w:sz="0" w:space="0" w:color="auto"/>
        <w:left w:val="none" w:sz="0" w:space="0" w:color="auto"/>
        <w:bottom w:val="none" w:sz="0" w:space="0" w:color="auto"/>
        <w:right w:val="none" w:sz="0" w:space="0" w:color="auto"/>
      </w:divBdr>
    </w:div>
    <w:div w:id="1683624678">
      <w:marLeft w:val="0"/>
      <w:marRight w:val="0"/>
      <w:marTop w:val="280"/>
      <w:marBottom w:val="0"/>
      <w:divBdr>
        <w:top w:val="none" w:sz="0" w:space="0" w:color="auto"/>
        <w:left w:val="none" w:sz="0" w:space="0" w:color="auto"/>
        <w:bottom w:val="none" w:sz="0" w:space="0" w:color="auto"/>
        <w:right w:val="none" w:sz="0" w:space="0" w:color="auto"/>
      </w:divBdr>
    </w:div>
    <w:div w:id="1684429559">
      <w:marLeft w:val="0"/>
      <w:marRight w:val="0"/>
      <w:marTop w:val="100"/>
      <w:marBottom w:val="0"/>
      <w:divBdr>
        <w:top w:val="none" w:sz="0" w:space="0" w:color="auto"/>
        <w:left w:val="none" w:sz="0" w:space="0" w:color="auto"/>
        <w:bottom w:val="none" w:sz="0" w:space="0" w:color="auto"/>
        <w:right w:val="none" w:sz="0" w:space="0" w:color="auto"/>
      </w:divBdr>
    </w:div>
    <w:div w:id="1684867069">
      <w:marLeft w:val="0"/>
      <w:marRight w:val="0"/>
      <w:marTop w:val="100"/>
      <w:marBottom w:val="0"/>
      <w:divBdr>
        <w:top w:val="none" w:sz="0" w:space="0" w:color="auto"/>
        <w:left w:val="none" w:sz="0" w:space="0" w:color="auto"/>
        <w:bottom w:val="none" w:sz="0" w:space="0" w:color="auto"/>
        <w:right w:val="none" w:sz="0" w:space="0" w:color="auto"/>
      </w:divBdr>
    </w:div>
    <w:div w:id="1690570243">
      <w:marLeft w:val="0"/>
      <w:marRight w:val="0"/>
      <w:marTop w:val="100"/>
      <w:marBottom w:val="100"/>
      <w:divBdr>
        <w:top w:val="none" w:sz="0" w:space="0" w:color="auto"/>
        <w:left w:val="none" w:sz="0" w:space="0" w:color="auto"/>
        <w:bottom w:val="none" w:sz="0" w:space="0" w:color="auto"/>
        <w:right w:val="none" w:sz="0" w:space="0" w:color="auto"/>
      </w:divBdr>
      <w:divsChild>
        <w:div w:id="380326714">
          <w:marLeft w:val="0"/>
          <w:marRight w:val="0"/>
          <w:marTop w:val="0"/>
          <w:marBottom w:val="0"/>
          <w:divBdr>
            <w:top w:val="none" w:sz="0" w:space="0" w:color="auto"/>
            <w:left w:val="none" w:sz="0" w:space="0" w:color="auto"/>
            <w:bottom w:val="none" w:sz="0" w:space="0" w:color="auto"/>
            <w:right w:val="none" w:sz="0" w:space="0" w:color="auto"/>
          </w:divBdr>
        </w:div>
      </w:divsChild>
    </w:div>
    <w:div w:id="1694457991">
      <w:marLeft w:val="0"/>
      <w:marRight w:val="0"/>
      <w:marTop w:val="160"/>
      <w:marBottom w:val="100"/>
      <w:divBdr>
        <w:top w:val="none" w:sz="0" w:space="0" w:color="auto"/>
        <w:left w:val="none" w:sz="0" w:space="0" w:color="auto"/>
        <w:bottom w:val="none" w:sz="0" w:space="0" w:color="auto"/>
        <w:right w:val="none" w:sz="0" w:space="0" w:color="auto"/>
      </w:divBdr>
    </w:div>
    <w:div w:id="1704673822">
      <w:marLeft w:val="0"/>
      <w:marRight w:val="0"/>
      <w:marTop w:val="60"/>
      <w:marBottom w:val="0"/>
      <w:divBdr>
        <w:top w:val="none" w:sz="0" w:space="0" w:color="auto"/>
        <w:left w:val="none" w:sz="0" w:space="0" w:color="auto"/>
        <w:bottom w:val="none" w:sz="0" w:space="0" w:color="auto"/>
        <w:right w:val="none" w:sz="0" w:space="0" w:color="auto"/>
      </w:divBdr>
    </w:div>
    <w:div w:id="1708024610">
      <w:marLeft w:val="0"/>
      <w:marRight w:val="0"/>
      <w:marTop w:val="100"/>
      <w:marBottom w:val="0"/>
      <w:divBdr>
        <w:top w:val="none" w:sz="0" w:space="0" w:color="auto"/>
        <w:left w:val="none" w:sz="0" w:space="0" w:color="auto"/>
        <w:bottom w:val="none" w:sz="0" w:space="0" w:color="auto"/>
        <w:right w:val="none" w:sz="0" w:space="0" w:color="auto"/>
      </w:divBdr>
    </w:div>
    <w:div w:id="1708603390">
      <w:marLeft w:val="0"/>
      <w:marRight w:val="0"/>
      <w:marTop w:val="100"/>
      <w:marBottom w:val="0"/>
      <w:divBdr>
        <w:top w:val="none" w:sz="0" w:space="0" w:color="auto"/>
        <w:left w:val="none" w:sz="0" w:space="0" w:color="auto"/>
        <w:bottom w:val="none" w:sz="0" w:space="0" w:color="auto"/>
        <w:right w:val="none" w:sz="0" w:space="0" w:color="auto"/>
      </w:divBdr>
    </w:div>
    <w:div w:id="1710716503">
      <w:marLeft w:val="0"/>
      <w:marRight w:val="0"/>
      <w:marTop w:val="100"/>
      <w:marBottom w:val="0"/>
      <w:divBdr>
        <w:top w:val="none" w:sz="0" w:space="0" w:color="auto"/>
        <w:left w:val="none" w:sz="0" w:space="0" w:color="auto"/>
        <w:bottom w:val="none" w:sz="0" w:space="0" w:color="auto"/>
        <w:right w:val="none" w:sz="0" w:space="0" w:color="auto"/>
      </w:divBdr>
    </w:div>
    <w:div w:id="1711152265">
      <w:marLeft w:val="0"/>
      <w:marRight w:val="0"/>
      <w:marTop w:val="100"/>
      <w:marBottom w:val="0"/>
      <w:divBdr>
        <w:top w:val="none" w:sz="0" w:space="0" w:color="auto"/>
        <w:left w:val="none" w:sz="0" w:space="0" w:color="auto"/>
        <w:bottom w:val="none" w:sz="0" w:space="0" w:color="auto"/>
        <w:right w:val="none" w:sz="0" w:space="0" w:color="auto"/>
      </w:divBdr>
    </w:div>
    <w:div w:id="1733045330">
      <w:marLeft w:val="0"/>
      <w:marRight w:val="0"/>
      <w:marTop w:val="100"/>
      <w:marBottom w:val="0"/>
      <w:divBdr>
        <w:top w:val="none" w:sz="0" w:space="0" w:color="auto"/>
        <w:left w:val="none" w:sz="0" w:space="0" w:color="auto"/>
        <w:bottom w:val="none" w:sz="0" w:space="0" w:color="auto"/>
        <w:right w:val="none" w:sz="0" w:space="0" w:color="auto"/>
      </w:divBdr>
    </w:div>
    <w:div w:id="1741826625">
      <w:marLeft w:val="0"/>
      <w:marRight w:val="0"/>
      <w:marTop w:val="100"/>
      <w:marBottom w:val="0"/>
      <w:divBdr>
        <w:top w:val="none" w:sz="0" w:space="0" w:color="auto"/>
        <w:left w:val="none" w:sz="0" w:space="0" w:color="auto"/>
        <w:bottom w:val="none" w:sz="0" w:space="0" w:color="auto"/>
        <w:right w:val="none" w:sz="0" w:space="0" w:color="auto"/>
      </w:divBdr>
    </w:div>
    <w:div w:id="1749615631">
      <w:marLeft w:val="0"/>
      <w:marRight w:val="0"/>
      <w:marTop w:val="40"/>
      <w:marBottom w:val="0"/>
      <w:divBdr>
        <w:top w:val="none" w:sz="0" w:space="0" w:color="auto"/>
        <w:left w:val="none" w:sz="0" w:space="0" w:color="auto"/>
        <w:bottom w:val="none" w:sz="0" w:space="0" w:color="auto"/>
        <w:right w:val="none" w:sz="0" w:space="0" w:color="auto"/>
      </w:divBdr>
    </w:div>
    <w:div w:id="1751921306">
      <w:marLeft w:val="0"/>
      <w:marRight w:val="0"/>
      <w:marTop w:val="280"/>
      <w:marBottom w:val="0"/>
      <w:divBdr>
        <w:top w:val="none" w:sz="0" w:space="0" w:color="auto"/>
        <w:left w:val="none" w:sz="0" w:space="0" w:color="auto"/>
        <w:bottom w:val="none" w:sz="0" w:space="0" w:color="auto"/>
        <w:right w:val="none" w:sz="0" w:space="0" w:color="auto"/>
      </w:divBdr>
    </w:div>
    <w:div w:id="1759250519">
      <w:marLeft w:val="0"/>
      <w:marRight w:val="0"/>
      <w:marTop w:val="280"/>
      <w:marBottom w:val="0"/>
      <w:divBdr>
        <w:top w:val="none" w:sz="0" w:space="0" w:color="auto"/>
        <w:left w:val="none" w:sz="0" w:space="0" w:color="auto"/>
        <w:bottom w:val="none" w:sz="0" w:space="0" w:color="auto"/>
        <w:right w:val="none" w:sz="0" w:space="0" w:color="auto"/>
      </w:divBdr>
    </w:div>
    <w:div w:id="1763262311">
      <w:marLeft w:val="0"/>
      <w:marRight w:val="0"/>
      <w:marTop w:val="280"/>
      <w:marBottom w:val="0"/>
      <w:divBdr>
        <w:top w:val="none" w:sz="0" w:space="0" w:color="auto"/>
        <w:left w:val="none" w:sz="0" w:space="0" w:color="auto"/>
        <w:bottom w:val="none" w:sz="0" w:space="0" w:color="auto"/>
        <w:right w:val="none" w:sz="0" w:space="0" w:color="auto"/>
      </w:divBdr>
    </w:div>
    <w:div w:id="1763337170">
      <w:marLeft w:val="0"/>
      <w:marRight w:val="0"/>
      <w:marTop w:val="100"/>
      <w:marBottom w:val="0"/>
      <w:divBdr>
        <w:top w:val="none" w:sz="0" w:space="0" w:color="auto"/>
        <w:left w:val="none" w:sz="0" w:space="0" w:color="auto"/>
        <w:bottom w:val="none" w:sz="0" w:space="0" w:color="auto"/>
        <w:right w:val="none" w:sz="0" w:space="0" w:color="auto"/>
      </w:divBdr>
      <w:divsChild>
        <w:div w:id="467670277">
          <w:marLeft w:val="0"/>
          <w:marRight w:val="0"/>
          <w:marTop w:val="0"/>
          <w:marBottom w:val="0"/>
          <w:divBdr>
            <w:top w:val="none" w:sz="0" w:space="0" w:color="auto"/>
            <w:left w:val="none" w:sz="0" w:space="0" w:color="auto"/>
            <w:bottom w:val="none" w:sz="0" w:space="0" w:color="auto"/>
            <w:right w:val="none" w:sz="0" w:space="0" w:color="auto"/>
          </w:divBdr>
        </w:div>
      </w:divsChild>
    </w:div>
    <w:div w:id="1764915921">
      <w:marLeft w:val="0"/>
      <w:marRight w:val="0"/>
      <w:marTop w:val="0"/>
      <w:marBottom w:val="0"/>
      <w:divBdr>
        <w:top w:val="none" w:sz="0" w:space="0" w:color="auto"/>
        <w:left w:val="none" w:sz="0" w:space="0" w:color="auto"/>
        <w:bottom w:val="none" w:sz="0" w:space="0" w:color="auto"/>
        <w:right w:val="none" w:sz="0" w:space="0" w:color="auto"/>
      </w:divBdr>
    </w:div>
    <w:div w:id="1772435377">
      <w:marLeft w:val="0"/>
      <w:marRight w:val="0"/>
      <w:marTop w:val="100"/>
      <w:marBottom w:val="0"/>
      <w:divBdr>
        <w:top w:val="none" w:sz="0" w:space="0" w:color="auto"/>
        <w:left w:val="none" w:sz="0" w:space="0" w:color="auto"/>
        <w:bottom w:val="none" w:sz="0" w:space="0" w:color="auto"/>
        <w:right w:val="none" w:sz="0" w:space="0" w:color="auto"/>
      </w:divBdr>
    </w:div>
    <w:div w:id="1773430511">
      <w:marLeft w:val="0"/>
      <w:marRight w:val="0"/>
      <w:marTop w:val="100"/>
      <w:marBottom w:val="0"/>
      <w:divBdr>
        <w:top w:val="none" w:sz="0" w:space="0" w:color="auto"/>
        <w:left w:val="none" w:sz="0" w:space="0" w:color="auto"/>
        <w:bottom w:val="none" w:sz="0" w:space="0" w:color="auto"/>
        <w:right w:val="none" w:sz="0" w:space="0" w:color="auto"/>
      </w:divBdr>
    </w:div>
    <w:div w:id="1773739412">
      <w:marLeft w:val="0"/>
      <w:marRight w:val="0"/>
      <w:marTop w:val="280"/>
      <w:marBottom w:val="0"/>
      <w:divBdr>
        <w:top w:val="none" w:sz="0" w:space="0" w:color="auto"/>
        <w:left w:val="none" w:sz="0" w:space="0" w:color="auto"/>
        <w:bottom w:val="none" w:sz="0" w:space="0" w:color="auto"/>
        <w:right w:val="none" w:sz="0" w:space="0" w:color="auto"/>
      </w:divBdr>
    </w:div>
    <w:div w:id="1776896889">
      <w:marLeft w:val="0"/>
      <w:marRight w:val="0"/>
      <w:marTop w:val="100"/>
      <w:marBottom w:val="0"/>
      <w:divBdr>
        <w:top w:val="none" w:sz="0" w:space="0" w:color="auto"/>
        <w:left w:val="none" w:sz="0" w:space="0" w:color="auto"/>
        <w:bottom w:val="none" w:sz="0" w:space="0" w:color="auto"/>
        <w:right w:val="none" w:sz="0" w:space="0" w:color="auto"/>
      </w:divBdr>
    </w:div>
    <w:div w:id="1780565633">
      <w:marLeft w:val="0"/>
      <w:marRight w:val="0"/>
      <w:marTop w:val="280"/>
      <w:marBottom w:val="0"/>
      <w:divBdr>
        <w:top w:val="none" w:sz="0" w:space="0" w:color="auto"/>
        <w:left w:val="none" w:sz="0" w:space="0" w:color="auto"/>
        <w:bottom w:val="none" w:sz="0" w:space="0" w:color="auto"/>
        <w:right w:val="none" w:sz="0" w:space="0" w:color="auto"/>
      </w:divBdr>
    </w:div>
    <w:div w:id="1782719104">
      <w:marLeft w:val="0"/>
      <w:marRight w:val="0"/>
      <w:marTop w:val="40"/>
      <w:marBottom w:val="0"/>
      <w:divBdr>
        <w:top w:val="none" w:sz="0" w:space="0" w:color="auto"/>
        <w:left w:val="none" w:sz="0" w:space="0" w:color="auto"/>
        <w:bottom w:val="none" w:sz="0" w:space="0" w:color="auto"/>
        <w:right w:val="none" w:sz="0" w:space="0" w:color="auto"/>
      </w:divBdr>
    </w:div>
    <w:div w:id="1782994517">
      <w:marLeft w:val="0"/>
      <w:marRight w:val="0"/>
      <w:marTop w:val="60"/>
      <w:marBottom w:val="0"/>
      <w:divBdr>
        <w:top w:val="none" w:sz="0" w:space="0" w:color="auto"/>
        <w:left w:val="none" w:sz="0" w:space="0" w:color="auto"/>
        <w:bottom w:val="none" w:sz="0" w:space="0" w:color="auto"/>
        <w:right w:val="none" w:sz="0" w:space="0" w:color="auto"/>
      </w:divBdr>
    </w:div>
    <w:div w:id="1786073748">
      <w:marLeft w:val="0"/>
      <w:marRight w:val="0"/>
      <w:marTop w:val="0"/>
      <w:marBottom w:val="0"/>
      <w:divBdr>
        <w:top w:val="none" w:sz="0" w:space="0" w:color="auto"/>
        <w:left w:val="none" w:sz="0" w:space="0" w:color="auto"/>
        <w:bottom w:val="none" w:sz="0" w:space="0" w:color="auto"/>
        <w:right w:val="none" w:sz="0" w:space="0" w:color="auto"/>
      </w:divBdr>
    </w:div>
    <w:div w:id="1789350400">
      <w:marLeft w:val="0"/>
      <w:marRight w:val="0"/>
      <w:marTop w:val="100"/>
      <w:marBottom w:val="0"/>
      <w:divBdr>
        <w:top w:val="none" w:sz="0" w:space="0" w:color="auto"/>
        <w:left w:val="none" w:sz="0" w:space="0" w:color="auto"/>
        <w:bottom w:val="none" w:sz="0" w:space="0" w:color="auto"/>
        <w:right w:val="none" w:sz="0" w:space="0" w:color="auto"/>
      </w:divBdr>
    </w:div>
    <w:div w:id="1791705675">
      <w:marLeft w:val="0"/>
      <w:marRight w:val="0"/>
      <w:marTop w:val="60"/>
      <w:marBottom w:val="0"/>
      <w:divBdr>
        <w:top w:val="none" w:sz="0" w:space="0" w:color="auto"/>
        <w:left w:val="none" w:sz="0" w:space="0" w:color="auto"/>
        <w:bottom w:val="none" w:sz="0" w:space="0" w:color="auto"/>
        <w:right w:val="none" w:sz="0" w:space="0" w:color="auto"/>
      </w:divBdr>
    </w:div>
    <w:div w:id="1792550409">
      <w:marLeft w:val="0"/>
      <w:marRight w:val="0"/>
      <w:marTop w:val="100"/>
      <w:marBottom w:val="100"/>
      <w:divBdr>
        <w:top w:val="none" w:sz="0" w:space="0" w:color="auto"/>
        <w:left w:val="none" w:sz="0" w:space="0" w:color="auto"/>
        <w:bottom w:val="none" w:sz="0" w:space="0" w:color="auto"/>
        <w:right w:val="none" w:sz="0" w:space="0" w:color="auto"/>
      </w:divBdr>
    </w:div>
    <w:div w:id="1792940791">
      <w:marLeft w:val="0"/>
      <w:marRight w:val="0"/>
      <w:marTop w:val="100"/>
      <w:marBottom w:val="0"/>
      <w:divBdr>
        <w:top w:val="none" w:sz="0" w:space="0" w:color="auto"/>
        <w:left w:val="none" w:sz="0" w:space="0" w:color="auto"/>
        <w:bottom w:val="none" w:sz="0" w:space="0" w:color="auto"/>
        <w:right w:val="none" w:sz="0" w:space="0" w:color="auto"/>
      </w:divBdr>
    </w:div>
    <w:div w:id="1794401502">
      <w:marLeft w:val="0"/>
      <w:marRight w:val="0"/>
      <w:marTop w:val="100"/>
      <w:marBottom w:val="0"/>
      <w:divBdr>
        <w:top w:val="none" w:sz="0" w:space="0" w:color="auto"/>
        <w:left w:val="none" w:sz="0" w:space="0" w:color="auto"/>
        <w:bottom w:val="none" w:sz="0" w:space="0" w:color="auto"/>
        <w:right w:val="none" w:sz="0" w:space="0" w:color="auto"/>
      </w:divBdr>
    </w:div>
    <w:div w:id="1797599230">
      <w:marLeft w:val="0"/>
      <w:marRight w:val="0"/>
      <w:marTop w:val="0"/>
      <w:marBottom w:val="0"/>
      <w:divBdr>
        <w:top w:val="none" w:sz="0" w:space="0" w:color="auto"/>
        <w:left w:val="none" w:sz="0" w:space="0" w:color="auto"/>
        <w:bottom w:val="none" w:sz="0" w:space="0" w:color="auto"/>
        <w:right w:val="none" w:sz="0" w:space="0" w:color="auto"/>
      </w:divBdr>
    </w:div>
    <w:div w:id="1797791019">
      <w:marLeft w:val="0"/>
      <w:marRight w:val="0"/>
      <w:marTop w:val="100"/>
      <w:marBottom w:val="0"/>
      <w:divBdr>
        <w:top w:val="none" w:sz="0" w:space="0" w:color="auto"/>
        <w:left w:val="none" w:sz="0" w:space="0" w:color="auto"/>
        <w:bottom w:val="none" w:sz="0" w:space="0" w:color="auto"/>
        <w:right w:val="none" w:sz="0" w:space="0" w:color="auto"/>
      </w:divBdr>
    </w:div>
    <w:div w:id="1798333435">
      <w:marLeft w:val="0"/>
      <w:marRight w:val="0"/>
      <w:marTop w:val="280"/>
      <w:marBottom w:val="0"/>
      <w:divBdr>
        <w:top w:val="none" w:sz="0" w:space="0" w:color="auto"/>
        <w:left w:val="none" w:sz="0" w:space="0" w:color="auto"/>
        <w:bottom w:val="none" w:sz="0" w:space="0" w:color="auto"/>
        <w:right w:val="none" w:sz="0" w:space="0" w:color="auto"/>
      </w:divBdr>
    </w:div>
    <w:div w:id="1800109465">
      <w:marLeft w:val="0"/>
      <w:marRight w:val="0"/>
      <w:marTop w:val="280"/>
      <w:marBottom w:val="0"/>
      <w:divBdr>
        <w:top w:val="none" w:sz="0" w:space="0" w:color="auto"/>
        <w:left w:val="none" w:sz="0" w:space="0" w:color="auto"/>
        <w:bottom w:val="none" w:sz="0" w:space="0" w:color="auto"/>
        <w:right w:val="none" w:sz="0" w:space="0" w:color="auto"/>
      </w:divBdr>
    </w:div>
    <w:div w:id="1800417942">
      <w:marLeft w:val="0"/>
      <w:marRight w:val="0"/>
      <w:marTop w:val="100"/>
      <w:marBottom w:val="0"/>
      <w:divBdr>
        <w:top w:val="none" w:sz="0" w:space="0" w:color="auto"/>
        <w:left w:val="none" w:sz="0" w:space="0" w:color="auto"/>
        <w:bottom w:val="none" w:sz="0" w:space="0" w:color="auto"/>
        <w:right w:val="none" w:sz="0" w:space="0" w:color="auto"/>
      </w:divBdr>
    </w:div>
    <w:div w:id="1801802479">
      <w:marLeft w:val="0"/>
      <w:marRight w:val="0"/>
      <w:marTop w:val="40"/>
      <w:marBottom w:val="0"/>
      <w:divBdr>
        <w:top w:val="none" w:sz="0" w:space="0" w:color="auto"/>
        <w:left w:val="none" w:sz="0" w:space="0" w:color="auto"/>
        <w:bottom w:val="none" w:sz="0" w:space="0" w:color="auto"/>
        <w:right w:val="none" w:sz="0" w:space="0" w:color="auto"/>
      </w:divBdr>
    </w:div>
    <w:div w:id="1802336425">
      <w:marLeft w:val="0"/>
      <w:marRight w:val="0"/>
      <w:marTop w:val="0"/>
      <w:marBottom w:val="0"/>
      <w:divBdr>
        <w:top w:val="none" w:sz="0" w:space="0" w:color="auto"/>
        <w:left w:val="none" w:sz="0" w:space="0" w:color="auto"/>
        <w:bottom w:val="none" w:sz="0" w:space="0" w:color="auto"/>
        <w:right w:val="none" w:sz="0" w:space="0" w:color="auto"/>
      </w:divBdr>
    </w:div>
    <w:div w:id="1812864934">
      <w:marLeft w:val="0"/>
      <w:marRight w:val="0"/>
      <w:marTop w:val="0"/>
      <w:marBottom w:val="0"/>
      <w:divBdr>
        <w:top w:val="none" w:sz="0" w:space="0" w:color="auto"/>
        <w:left w:val="none" w:sz="0" w:space="0" w:color="auto"/>
        <w:bottom w:val="none" w:sz="0" w:space="0" w:color="auto"/>
        <w:right w:val="none" w:sz="0" w:space="0" w:color="auto"/>
      </w:divBdr>
    </w:div>
    <w:div w:id="1814903639">
      <w:marLeft w:val="0"/>
      <w:marRight w:val="0"/>
      <w:marTop w:val="20"/>
      <w:marBottom w:val="0"/>
      <w:divBdr>
        <w:top w:val="none" w:sz="0" w:space="0" w:color="auto"/>
        <w:left w:val="none" w:sz="0" w:space="0" w:color="auto"/>
        <w:bottom w:val="none" w:sz="0" w:space="0" w:color="auto"/>
        <w:right w:val="none" w:sz="0" w:space="0" w:color="auto"/>
      </w:divBdr>
    </w:div>
    <w:div w:id="1816798218">
      <w:marLeft w:val="0"/>
      <w:marRight w:val="0"/>
      <w:marTop w:val="0"/>
      <w:marBottom w:val="0"/>
      <w:divBdr>
        <w:top w:val="none" w:sz="0" w:space="0" w:color="auto"/>
        <w:left w:val="none" w:sz="0" w:space="0" w:color="auto"/>
        <w:bottom w:val="none" w:sz="0" w:space="0" w:color="auto"/>
        <w:right w:val="none" w:sz="0" w:space="0" w:color="auto"/>
      </w:divBdr>
    </w:div>
    <w:div w:id="1821195278">
      <w:marLeft w:val="0"/>
      <w:marRight w:val="0"/>
      <w:marTop w:val="280"/>
      <w:marBottom w:val="0"/>
      <w:divBdr>
        <w:top w:val="none" w:sz="0" w:space="0" w:color="auto"/>
        <w:left w:val="none" w:sz="0" w:space="0" w:color="auto"/>
        <w:bottom w:val="none" w:sz="0" w:space="0" w:color="auto"/>
        <w:right w:val="none" w:sz="0" w:space="0" w:color="auto"/>
      </w:divBdr>
    </w:div>
    <w:div w:id="1835803206">
      <w:marLeft w:val="0"/>
      <w:marRight w:val="0"/>
      <w:marTop w:val="100"/>
      <w:marBottom w:val="0"/>
      <w:divBdr>
        <w:top w:val="none" w:sz="0" w:space="0" w:color="auto"/>
        <w:left w:val="none" w:sz="0" w:space="0" w:color="auto"/>
        <w:bottom w:val="none" w:sz="0" w:space="0" w:color="auto"/>
        <w:right w:val="none" w:sz="0" w:space="0" w:color="auto"/>
      </w:divBdr>
    </w:div>
    <w:div w:id="1837334129">
      <w:marLeft w:val="0"/>
      <w:marRight w:val="0"/>
      <w:marTop w:val="280"/>
      <w:marBottom w:val="0"/>
      <w:divBdr>
        <w:top w:val="none" w:sz="0" w:space="0" w:color="auto"/>
        <w:left w:val="none" w:sz="0" w:space="0" w:color="auto"/>
        <w:bottom w:val="none" w:sz="0" w:space="0" w:color="auto"/>
        <w:right w:val="none" w:sz="0" w:space="0" w:color="auto"/>
      </w:divBdr>
    </w:div>
    <w:div w:id="1838614056">
      <w:marLeft w:val="0"/>
      <w:marRight w:val="0"/>
      <w:marTop w:val="100"/>
      <w:marBottom w:val="0"/>
      <w:divBdr>
        <w:top w:val="none" w:sz="0" w:space="0" w:color="auto"/>
        <w:left w:val="none" w:sz="0" w:space="0" w:color="auto"/>
        <w:bottom w:val="none" w:sz="0" w:space="0" w:color="auto"/>
        <w:right w:val="none" w:sz="0" w:space="0" w:color="auto"/>
      </w:divBdr>
    </w:div>
    <w:div w:id="1842045206">
      <w:marLeft w:val="0"/>
      <w:marRight w:val="0"/>
      <w:marTop w:val="100"/>
      <w:marBottom w:val="0"/>
      <w:divBdr>
        <w:top w:val="none" w:sz="0" w:space="0" w:color="auto"/>
        <w:left w:val="none" w:sz="0" w:space="0" w:color="auto"/>
        <w:bottom w:val="none" w:sz="0" w:space="0" w:color="auto"/>
        <w:right w:val="none" w:sz="0" w:space="0" w:color="auto"/>
      </w:divBdr>
    </w:div>
    <w:div w:id="1843426860">
      <w:marLeft w:val="0"/>
      <w:marRight w:val="0"/>
      <w:marTop w:val="280"/>
      <w:marBottom w:val="0"/>
      <w:divBdr>
        <w:top w:val="none" w:sz="0" w:space="0" w:color="auto"/>
        <w:left w:val="none" w:sz="0" w:space="0" w:color="auto"/>
        <w:bottom w:val="none" w:sz="0" w:space="0" w:color="auto"/>
        <w:right w:val="none" w:sz="0" w:space="0" w:color="auto"/>
      </w:divBdr>
    </w:div>
    <w:div w:id="1847939748">
      <w:marLeft w:val="0"/>
      <w:marRight w:val="0"/>
      <w:marTop w:val="120"/>
      <w:marBottom w:val="100"/>
      <w:divBdr>
        <w:top w:val="none" w:sz="0" w:space="0" w:color="auto"/>
        <w:left w:val="none" w:sz="0" w:space="0" w:color="auto"/>
        <w:bottom w:val="none" w:sz="0" w:space="0" w:color="auto"/>
        <w:right w:val="none" w:sz="0" w:space="0" w:color="auto"/>
      </w:divBdr>
    </w:div>
    <w:div w:id="1848250352">
      <w:marLeft w:val="0"/>
      <w:marRight w:val="0"/>
      <w:marTop w:val="100"/>
      <w:marBottom w:val="0"/>
      <w:divBdr>
        <w:top w:val="none" w:sz="0" w:space="0" w:color="auto"/>
        <w:left w:val="none" w:sz="0" w:space="0" w:color="auto"/>
        <w:bottom w:val="none" w:sz="0" w:space="0" w:color="auto"/>
        <w:right w:val="none" w:sz="0" w:space="0" w:color="auto"/>
      </w:divBdr>
    </w:div>
    <w:div w:id="1848472386">
      <w:marLeft w:val="0"/>
      <w:marRight w:val="0"/>
      <w:marTop w:val="0"/>
      <w:marBottom w:val="0"/>
      <w:divBdr>
        <w:top w:val="none" w:sz="0" w:space="0" w:color="auto"/>
        <w:left w:val="none" w:sz="0" w:space="0" w:color="auto"/>
        <w:bottom w:val="none" w:sz="0" w:space="0" w:color="auto"/>
        <w:right w:val="none" w:sz="0" w:space="0" w:color="auto"/>
      </w:divBdr>
    </w:div>
    <w:div w:id="1852334319">
      <w:marLeft w:val="0"/>
      <w:marRight w:val="0"/>
      <w:marTop w:val="280"/>
      <w:marBottom w:val="0"/>
      <w:divBdr>
        <w:top w:val="none" w:sz="0" w:space="0" w:color="auto"/>
        <w:left w:val="none" w:sz="0" w:space="0" w:color="auto"/>
        <w:bottom w:val="none" w:sz="0" w:space="0" w:color="auto"/>
        <w:right w:val="none" w:sz="0" w:space="0" w:color="auto"/>
      </w:divBdr>
    </w:div>
    <w:div w:id="1852525654">
      <w:marLeft w:val="0"/>
      <w:marRight w:val="0"/>
      <w:marTop w:val="100"/>
      <w:marBottom w:val="0"/>
      <w:divBdr>
        <w:top w:val="none" w:sz="0" w:space="0" w:color="auto"/>
        <w:left w:val="none" w:sz="0" w:space="0" w:color="auto"/>
        <w:bottom w:val="none" w:sz="0" w:space="0" w:color="auto"/>
        <w:right w:val="none" w:sz="0" w:space="0" w:color="auto"/>
      </w:divBdr>
    </w:div>
    <w:div w:id="1853254913">
      <w:marLeft w:val="0"/>
      <w:marRight w:val="0"/>
      <w:marTop w:val="280"/>
      <w:marBottom w:val="0"/>
      <w:divBdr>
        <w:top w:val="none" w:sz="0" w:space="0" w:color="auto"/>
        <w:left w:val="none" w:sz="0" w:space="0" w:color="auto"/>
        <w:bottom w:val="none" w:sz="0" w:space="0" w:color="auto"/>
        <w:right w:val="none" w:sz="0" w:space="0" w:color="auto"/>
      </w:divBdr>
    </w:div>
    <w:div w:id="1853301016">
      <w:marLeft w:val="0"/>
      <w:marRight w:val="0"/>
      <w:marTop w:val="100"/>
      <w:marBottom w:val="0"/>
      <w:divBdr>
        <w:top w:val="none" w:sz="0" w:space="0" w:color="auto"/>
        <w:left w:val="none" w:sz="0" w:space="0" w:color="auto"/>
        <w:bottom w:val="none" w:sz="0" w:space="0" w:color="auto"/>
        <w:right w:val="none" w:sz="0" w:space="0" w:color="auto"/>
      </w:divBdr>
    </w:div>
    <w:div w:id="1858470858">
      <w:marLeft w:val="0"/>
      <w:marRight w:val="0"/>
      <w:marTop w:val="100"/>
      <w:marBottom w:val="0"/>
      <w:divBdr>
        <w:top w:val="none" w:sz="0" w:space="0" w:color="auto"/>
        <w:left w:val="none" w:sz="0" w:space="0" w:color="auto"/>
        <w:bottom w:val="none" w:sz="0" w:space="0" w:color="auto"/>
        <w:right w:val="none" w:sz="0" w:space="0" w:color="auto"/>
      </w:divBdr>
    </w:div>
    <w:div w:id="1858810247">
      <w:marLeft w:val="0"/>
      <w:marRight w:val="0"/>
      <w:marTop w:val="100"/>
      <w:marBottom w:val="0"/>
      <w:divBdr>
        <w:top w:val="none" w:sz="0" w:space="0" w:color="auto"/>
        <w:left w:val="none" w:sz="0" w:space="0" w:color="auto"/>
        <w:bottom w:val="none" w:sz="0" w:space="0" w:color="auto"/>
        <w:right w:val="none" w:sz="0" w:space="0" w:color="auto"/>
      </w:divBdr>
      <w:divsChild>
        <w:div w:id="950939239">
          <w:marLeft w:val="0"/>
          <w:marRight w:val="0"/>
          <w:marTop w:val="0"/>
          <w:marBottom w:val="0"/>
          <w:divBdr>
            <w:top w:val="none" w:sz="0" w:space="0" w:color="auto"/>
            <w:left w:val="none" w:sz="0" w:space="0" w:color="auto"/>
            <w:bottom w:val="none" w:sz="0" w:space="0" w:color="auto"/>
            <w:right w:val="none" w:sz="0" w:space="0" w:color="auto"/>
          </w:divBdr>
        </w:div>
      </w:divsChild>
    </w:div>
    <w:div w:id="1860466053">
      <w:marLeft w:val="0"/>
      <w:marRight w:val="0"/>
      <w:marTop w:val="100"/>
      <w:marBottom w:val="0"/>
      <w:divBdr>
        <w:top w:val="none" w:sz="0" w:space="0" w:color="auto"/>
        <w:left w:val="none" w:sz="0" w:space="0" w:color="auto"/>
        <w:bottom w:val="none" w:sz="0" w:space="0" w:color="auto"/>
        <w:right w:val="none" w:sz="0" w:space="0" w:color="auto"/>
      </w:divBdr>
    </w:div>
    <w:div w:id="1862696384">
      <w:marLeft w:val="0"/>
      <w:marRight w:val="0"/>
      <w:marTop w:val="280"/>
      <w:marBottom w:val="0"/>
      <w:divBdr>
        <w:top w:val="none" w:sz="0" w:space="0" w:color="auto"/>
        <w:left w:val="none" w:sz="0" w:space="0" w:color="auto"/>
        <w:bottom w:val="none" w:sz="0" w:space="0" w:color="auto"/>
        <w:right w:val="none" w:sz="0" w:space="0" w:color="auto"/>
      </w:divBdr>
    </w:div>
    <w:div w:id="1863322435">
      <w:marLeft w:val="0"/>
      <w:marRight w:val="0"/>
      <w:marTop w:val="0"/>
      <w:marBottom w:val="0"/>
      <w:divBdr>
        <w:top w:val="none" w:sz="0" w:space="0" w:color="auto"/>
        <w:left w:val="none" w:sz="0" w:space="0" w:color="auto"/>
        <w:bottom w:val="none" w:sz="0" w:space="0" w:color="auto"/>
        <w:right w:val="none" w:sz="0" w:space="0" w:color="auto"/>
      </w:divBdr>
      <w:divsChild>
        <w:div w:id="967902445">
          <w:marLeft w:val="0"/>
          <w:marRight w:val="0"/>
          <w:marTop w:val="0"/>
          <w:marBottom w:val="0"/>
          <w:divBdr>
            <w:top w:val="none" w:sz="0" w:space="0" w:color="auto"/>
            <w:left w:val="none" w:sz="0" w:space="0" w:color="auto"/>
            <w:bottom w:val="none" w:sz="0" w:space="0" w:color="auto"/>
            <w:right w:val="none" w:sz="0" w:space="0" w:color="auto"/>
          </w:divBdr>
        </w:div>
      </w:divsChild>
    </w:div>
    <w:div w:id="1871411482">
      <w:marLeft w:val="0"/>
      <w:marRight w:val="0"/>
      <w:marTop w:val="0"/>
      <w:marBottom w:val="0"/>
      <w:divBdr>
        <w:top w:val="none" w:sz="0" w:space="0" w:color="auto"/>
        <w:left w:val="none" w:sz="0" w:space="0" w:color="auto"/>
        <w:bottom w:val="none" w:sz="0" w:space="0" w:color="auto"/>
        <w:right w:val="none" w:sz="0" w:space="0" w:color="auto"/>
      </w:divBdr>
      <w:divsChild>
        <w:div w:id="823426109">
          <w:marLeft w:val="0"/>
          <w:marRight w:val="0"/>
          <w:marTop w:val="0"/>
          <w:marBottom w:val="0"/>
          <w:divBdr>
            <w:top w:val="none" w:sz="0" w:space="0" w:color="auto"/>
            <w:left w:val="none" w:sz="0" w:space="0" w:color="auto"/>
            <w:bottom w:val="none" w:sz="0" w:space="0" w:color="auto"/>
            <w:right w:val="none" w:sz="0" w:space="0" w:color="auto"/>
          </w:divBdr>
        </w:div>
      </w:divsChild>
    </w:div>
    <w:div w:id="1875341988">
      <w:marLeft w:val="0"/>
      <w:marRight w:val="0"/>
      <w:marTop w:val="0"/>
      <w:marBottom w:val="0"/>
      <w:divBdr>
        <w:top w:val="none" w:sz="0" w:space="0" w:color="auto"/>
        <w:left w:val="none" w:sz="0" w:space="0" w:color="auto"/>
        <w:bottom w:val="none" w:sz="0" w:space="0" w:color="auto"/>
        <w:right w:val="none" w:sz="0" w:space="0" w:color="auto"/>
      </w:divBdr>
      <w:divsChild>
        <w:div w:id="1680161118">
          <w:marLeft w:val="0"/>
          <w:marRight w:val="0"/>
          <w:marTop w:val="0"/>
          <w:marBottom w:val="0"/>
          <w:divBdr>
            <w:top w:val="none" w:sz="0" w:space="0" w:color="auto"/>
            <w:left w:val="none" w:sz="0" w:space="0" w:color="auto"/>
            <w:bottom w:val="none" w:sz="0" w:space="0" w:color="auto"/>
            <w:right w:val="none" w:sz="0" w:space="0" w:color="auto"/>
          </w:divBdr>
        </w:div>
      </w:divsChild>
    </w:div>
    <w:div w:id="1878615445">
      <w:marLeft w:val="0"/>
      <w:marRight w:val="0"/>
      <w:marTop w:val="280"/>
      <w:marBottom w:val="0"/>
      <w:divBdr>
        <w:top w:val="none" w:sz="0" w:space="0" w:color="auto"/>
        <w:left w:val="none" w:sz="0" w:space="0" w:color="auto"/>
        <w:bottom w:val="none" w:sz="0" w:space="0" w:color="auto"/>
        <w:right w:val="none" w:sz="0" w:space="0" w:color="auto"/>
      </w:divBdr>
    </w:div>
    <w:div w:id="1878932689">
      <w:marLeft w:val="0"/>
      <w:marRight w:val="0"/>
      <w:marTop w:val="0"/>
      <w:marBottom w:val="0"/>
      <w:divBdr>
        <w:top w:val="none" w:sz="0" w:space="0" w:color="auto"/>
        <w:left w:val="none" w:sz="0" w:space="0" w:color="auto"/>
        <w:bottom w:val="none" w:sz="0" w:space="0" w:color="auto"/>
        <w:right w:val="none" w:sz="0" w:space="0" w:color="auto"/>
      </w:divBdr>
    </w:div>
    <w:div w:id="1891384384">
      <w:marLeft w:val="0"/>
      <w:marRight w:val="0"/>
      <w:marTop w:val="100"/>
      <w:marBottom w:val="0"/>
      <w:divBdr>
        <w:top w:val="none" w:sz="0" w:space="0" w:color="auto"/>
        <w:left w:val="none" w:sz="0" w:space="0" w:color="auto"/>
        <w:bottom w:val="none" w:sz="0" w:space="0" w:color="auto"/>
        <w:right w:val="none" w:sz="0" w:space="0" w:color="auto"/>
      </w:divBdr>
    </w:div>
    <w:div w:id="1895385532">
      <w:marLeft w:val="0"/>
      <w:marRight w:val="0"/>
      <w:marTop w:val="100"/>
      <w:marBottom w:val="0"/>
      <w:divBdr>
        <w:top w:val="none" w:sz="0" w:space="0" w:color="auto"/>
        <w:left w:val="none" w:sz="0" w:space="0" w:color="auto"/>
        <w:bottom w:val="none" w:sz="0" w:space="0" w:color="auto"/>
        <w:right w:val="none" w:sz="0" w:space="0" w:color="auto"/>
      </w:divBdr>
    </w:div>
    <w:div w:id="1898734862">
      <w:marLeft w:val="0"/>
      <w:marRight w:val="0"/>
      <w:marTop w:val="100"/>
      <w:marBottom w:val="0"/>
      <w:divBdr>
        <w:top w:val="none" w:sz="0" w:space="0" w:color="auto"/>
        <w:left w:val="none" w:sz="0" w:space="0" w:color="auto"/>
        <w:bottom w:val="none" w:sz="0" w:space="0" w:color="auto"/>
        <w:right w:val="none" w:sz="0" w:space="0" w:color="auto"/>
      </w:divBdr>
    </w:div>
    <w:div w:id="1899824479">
      <w:marLeft w:val="0"/>
      <w:marRight w:val="0"/>
      <w:marTop w:val="60"/>
      <w:marBottom w:val="0"/>
      <w:divBdr>
        <w:top w:val="none" w:sz="0" w:space="0" w:color="auto"/>
        <w:left w:val="none" w:sz="0" w:space="0" w:color="auto"/>
        <w:bottom w:val="none" w:sz="0" w:space="0" w:color="auto"/>
        <w:right w:val="none" w:sz="0" w:space="0" w:color="auto"/>
      </w:divBdr>
    </w:div>
    <w:div w:id="1904099202">
      <w:marLeft w:val="0"/>
      <w:marRight w:val="0"/>
      <w:marTop w:val="100"/>
      <w:marBottom w:val="0"/>
      <w:divBdr>
        <w:top w:val="none" w:sz="0" w:space="0" w:color="auto"/>
        <w:left w:val="none" w:sz="0" w:space="0" w:color="auto"/>
        <w:bottom w:val="none" w:sz="0" w:space="0" w:color="auto"/>
        <w:right w:val="none" w:sz="0" w:space="0" w:color="auto"/>
      </w:divBdr>
    </w:div>
    <w:div w:id="1904678419">
      <w:marLeft w:val="0"/>
      <w:marRight w:val="0"/>
      <w:marTop w:val="100"/>
      <w:marBottom w:val="0"/>
      <w:divBdr>
        <w:top w:val="none" w:sz="0" w:space="0" w:color="auto"/>
        <w:left w:val="none" w:sz="0" w:space="0" w:color="auto"/>
        <w:bottom w:val="none" w:sz="0" w:space="0" w:color="auto"/>
        <w:right w:val="none" w:sz="0" w:space="0" w:color="auto"/>
      </w:divBdr>
    </w:div>
    <w:div w:id="1906917447">
      <w:marLeft w:val="0"/>
      <w:marRight w:val="0"/>
      <w:marTop w:val="100"/>
      <w:marBottom w:val="0"/>
      <w:divBdr>
        <w:top w:val="none" w:sz="0" w:space="0" w:color="auto"/>
        <w:left w:val="none" w:sz="0" w:space="0" w:color="auto"/>
        <w:bottom w:val="none" w:sz="0" w:space="0" w:color="auto"/>
        <w:right w:val="none" w:sz="0" w:space="0" w:color="auto"/>
      </w:divBdr>
    </w:div>
    <w:div w:id="1910382629">
      <w:marLeft w:val="0"/>
      <w:marRight w:val="0"/>
      <w:marTop w:val="100"/>
      <w:marBottom w:val="0"/>
      <w:divBdr>
        <w:top w:val="none" w:sz="0" w:space="0" w:color="auto"/>
        <w:left w:val="none" w:sz="0" w:space="0" w:color="auto"/>
        <w:bottom w:val="none" w:sz="0" w:space="0" w:color="auto"/>
        <w:right w:val="none" w:sz="0" w:space="0" w:color="auto"/>
      </w:divBdr>
    </w:div>
    <w:div w:id="1910841874">
      <w:marLeft w:val="0"/>
      <w:marRight w:val="0"/>
      <w:marTop w:val="100"/>
      <w:marBottom w:val="0"/>
      <w:divBdr>
        <w:top w:val="none" w:sz="0" w:space="0" w:color="auto"/>
        <w:left w:val="none" w:sz="0" w:space="0" w:color="auto"/>
        <w:bottom w:val="none" w:sz="0" w:space="0" w:color="auto"/>
        <w:right w:val="none" w:sz="0" w:space="0" w:color="auto"/>
      </w:divBdr>
    </w:div>
    <w:div w:id="1922906957">
      <w:marLeft w:val="0"/>
      <w:marRight w:val="0"/>
      <w:marTop w:val="0"/>
      <w:marBottom w:val="0"/>
      <w:divBdr>
        <w:top w:val="none" w:sz="0" w:space="0" w:color="auto"/>
        <w:left w:val="none" w:sz="0" w:space="0" w:color="auto"/>
        <w:bottom w:val="none" w:sz="0" w:space="0" w:color="auto"/>
        <w:right w:val="none" w:sz="0" w:space="0" w:color="auto"/>
      </w:divBdr>
      <w:divsChild>
        <w:div w:id="1148787380">
          <w:marLeft w:val="0"/>
          <w:marRight w:val="0"/>
          <w:marTop w:val="0"/>
          <w:marBottom w:val="0"/>
          <w:divBdr>
            <w:top w:val="none" w:sz="0" w:space="0" w:color="auto"/>
            <w:left w:val="none" w:sz="0" w:space="0" w:color="auto"/>
            <w:bottom w:val="none" w:sz="0" w:space="0" w:color="auto"/>
            <w:right w:val="none" w:sz="0" w:space="0" w:color="auto"/>
          </w:divBdr>
        </w:div>
      </w:divsChild>
    </w:div>
    <w:div w:id="1929924927">
      <w:marLeft w:val="0"/>
      <w:marRight w:val="0"/>
      <w:marTop w:val="0"/>
      <w:marBottom w:val="0"/>
      <w:divBdr>
        <w:top w:val="none" w:sz="0" w:space="0" w:color="auto"/>
        <w:left w:val="none" w:sz="0" w:space="0" w:color="auto"/>
        <w:bottom w:val="none" w:sz="0" w:space="0" w:color="auto"/>
        <w:right w:val="none" w:sz="0" w:space="0" w:color="auto"/>
      </w:divBdr>
    </w:div>
    <w:div w:id="1939480951">
      <w:marLeft w:val="0"/>
      <w:marRight w:val="0"/>
      <w:marTop w:val="100"/>
      <w:marBottom w:val="0"/>
      <w:divBdr>
        <w:top w:val="none" w:sz="0" w:space="0" w:color="auto"/>
        <w:left w:val="none" w:sz="0" w:space="0" w:color="auto"/>
        <w:bottom w:val="none" w:sz="0" w:space="0" w:color="auto"/>
        <w:right w:val="none" w:sz="0" w:space="0" w:color="auto"/>
      </w:divBdr>
    </w:div>
    <w:div w:id="1943341105">
      <w:marLeft w:val="0"/>
      <w:marRight w:val="0"/>
      <w:marTop w:val="0"/>
      <w:marBottom w:val="0"/>
      <w:divBdr>
        <w:top w:val="none" w:sz="0" w:space="0" w:color="auto"/>
        <w:left w:val="none" w:sz="0" w:space="0" w:color="auto"/>
        <w:bottom w:val="none" w:sz="0" w:space="0" w:color="auto"/>
        <w:right w:val="none" w:sz="0" w:space="0" w:color="auto"/>
      </w:divBdr>
    </w:div>
    <w:div w:id="1947231444">
      <w:marLeft w:val="0"/>
      <w:marRight w:val="0"/>
      <w:marTop w:val="100"/>
      <w:marBottom w:val="0"/>
      <w:divBdr>
        <w:top w:val="none" w:sz="0" w:space="0" w:color="auto"/>
        <w:left w:val="none" w:sz="0" w:space="0" w:color="auto"/>
        <w:bottom w:val="none" w:sz="0" w:space="0" w:color="auto"/>
        <w:right w:val="none" w:sz="0" w:space="0" w:color="auto"/>
      </w:divBdr>
    </w:div>
    <w:div w:id="1948541064">
      <w:marLeft w:val="0"/>
      <w:marRight w:val="0"/>
      <w:marTop w:val="100"/>
      <w:marBottom w:val="0"/>
      <w:divBdr>
        <w:top w:val="none" w:sz="0" w:space="0" w:color="auto"/>
        <w:left w:val="none" w:sz="0" w:space="0" w:color="auto"/>
        <w:bottom w:val="none" w:sz="0" w:space="0" w:color="auto"/>
        <w:right w:val="none" w:sz="0" w:space="0" w:color="auto"/>
      </w:divBdr>
    </w:div>
    <w:div w:id="1949969826">
      <w:marLeft w:val="0"/>
      <w:marRight w:val="0"/>
      <w:marTop w:val="280"/>
      <w:marBottom w:val="0"/>
      <w:divBdr>
        <w:top w:val="none" w:sz="0" w:space="0" w:color="auto"/>
        <w:left w:val="none" w:sz="0" w:space="0" w:color="auto"/>
        <w:bottom w:val="none" w:sz="0" w:space="0" w:color="auto"/>
        <w:right w:val="none" w:sz="0" w:space="0" w:color="auto"/>
      </w:divBdr>
    </w:div>
    <w:div w:id="1952319798">
      <w:marLeft w:val="0"/>
      <w:marRight w:val="0"/>
      <w:marTop w:val="100"/>
      <w:marBottom w:val="0"/>
      <w:divBdr>
        <w:top w:val="none" w:sz="0" w:space="0" w:color="auto"/>
        <w:left w:val="none" w:sz="0" w:space="0" w:color="auto"/>
        <w:bottom w:val="none" w:sz="0" w:space="0" w:color="auto"/>
        <w:right w:val="none" w:sz="0" w:space="0" w:color="auto"/>
      </w:divBdr>
    </w:div>
    <w:div w:id="1957177666">
      <w:marLeft w:val="0"/>
      <w:marRight w:val="0"/>
      <w:marTop w:val="0"/>
      <w:marBottom w:val="0"/>
      <w:divBdr>
        <w:top w:val="none" w:sz="0" w:space="0" w:color="auto"/>
        <w:left w:val="none" w:sz="0" w:space="0" w:color="auto"/>
        <w:bottom w:val="none" w:sz="0" w:space="0" w:color="auto"/>
        <w:right w:val="none" w:sz="0" w:space="0" w:color="auto"/>
      </w:divBdr>
      <w:divsChild>
        <w:div w:id="1732196926">
          <w:marLeft w:val="0"/>
          <w:marRight w:val="0"/>
          <w:marTop w:val="0"/>
          <w:marBottom w:val="0"/>
          <w:divBdr>
            <w:top w:val="none" w:sz="0" w:space="0" w:color="auto"/>
            <w:left w:val="none" w:sz="0" w:space="0" w:color="auto"/>
            <w:bottom w:val="none" w:sz="0" w:space="0" w:color="auto"/>
            <w:right w:val="none" w:sz="0" w:space="0" w:color="auto"/>
          </w:divBdr>
        </w:div>
      </w:divsChild>
    </w:div>
    <w:div w:id="1957716262">
      <w:marLeft w:val="0"/>
      <w:marRight w:val="0"/>
      <w:marTop w:val="0"/>
      <w:marBottom w:val="0"/>
      <w:divBdr>
        <w:top w:val="none" w:sz="0" w:space="0" w:color="auto"/>
        <w:left w:val="none" w:sz="0" w:space="0" w:color="auto"/>
        <w:bottom w:val="none" w:sz="0" w:space="0" w:color="auto"/>
        <w:right w:val="none" w:sz="0" w:space="0" w:color="auto"/>
      </w:divBdr>
      <w:divsChild>
        <w:div w:id="1411387466">
          <w:marLeft w:val="0"/>
          <w:marRight w:val="0"/>
          <w:marTop w:val="0"/>
          <w:marBottom w:val="0"/>
          <w:divBdr>
            <w:top w:val="none" w:sz="0" w:space="0" w:color="auto"/>
            <w:left w:val="none" w:sz="0" w:space="0" w:color="auto"/>
            <w:bottom w:val="none" w:sz="0" w:space="0" w:color="auto"/>
            <w:right w:val="none" w:sz="0" w:space="0" w:color="auto"/>
          </w:divBdr>
        </w:div>
      </w:divsChild>
    </w:div>
    <w:div w:id="1957908558">
      <w:marLeft w:val="0"/>
      <w:marRight w:val="0"/>
      <w:marTop w:val="40"/>
      <w:marBottom w:val="0"/>
      <w:divBdr>
        <w:top w:val="none" w:sz="0" w:space="0" w:color="auto"/>
        <w:left w:val="none" w:sz="0" w:space="0" w:color="auto"/>
        <w:bottom w:val="none" w:sz="0" w:space="0" w:color="auto"/>
        <w:right w:val="none" w:sz="0" w:space="0" w:color="auto"/>
      </w:divBdr>
    </w:div>
    <w:div w:id="1960796666">
      <w:marLeft w:val="0"/>
      <w:marRight w:val="0"/>
      <w:marTop w:val="100"/>
      <w:marBottom w:val="0"/>
      <w:divBdr>
        <w:top w:val="none" w:sz="0" w:space="0" w:color="auto"/>
        <w:left w:val="none" w:sz="0" w:space="0" w:color="auto"/>
        <w:bottom w:val="none" w:sz="0" w:space="0" w:color="auto"/>
        <w:right w:val="none" w:sz="0" w:space="0" w:color="auto"/>
      </w:divBdr>
    </w:div>
    <w:div w:id="1966160786">
      <w:marLeft w:val="0"/>
      <w:marRight w:val="0"/>
      <w:marTop w:val="0"/>
      <w:marBottom w:val="0"/>
      <w:divBdr>
        <w:top w:val="none" w:sz="0" w:space="0" w:color="auto"/>
        <w:left w:val="none" w:sz="0" w:space="0" w:color="auto"/>
        <w:bottom w:val="none" w:sz="0" w:space="0" w:color="auto"/>
        <w:right w:val="none" w:sz="0" w:space="0" w:color="auto"/>
      </w:divBdr>
      <w:divsChild>
        <w:div w:id="2055228721">
          <w:marLeft w:val="0"/>
          <w:marRight w:val="0"/>
          <w:marTop w:val="0"/>
          <w:marBottom w:val="0"/>
          <w:divBdr>
            <w:top w:val="none" w:sz="0" w:space="0" w:color="auto"/>
            <w:left w:val="none" w:sz="0" w:space="0" w:color="auto"/>
            <w:bottom w:val="none" w:sz="0" w:space="0" w:color="auto"/>
            <w:right w:val="none" w:sz="0" w:space="0" w:color="auto"/>
          </w:divBdr>
        </w:div>
      </w:divsChild>
    </w:div>
    <w:div w:id="1972050074">
      <w:marLeft w:val="0"/>
      <w:marRight w:val="0"/>
      <w:marTop w:val="100"/>
      <w:marBottom w:val="0"/>
      <w:divBdr>
        <w:top w:val="none" w:sz="0" w:space="0" w:color="auto"/>
        <w:left w:val="none" w:sz="0" w:space="0" w:color="auto"/>
        <w:bottom w:val="none" w:sz="0" w:space="0" w:color="auto"/>
        <w:right w:val="none" w:sz="0" w:space="0" w:color="auto"/>
      </w:divBdr>
    </w:div>
    <w:div w:id="1972515944">
      <w:marLeft w:val="0"/>
      <w:marRight w:val="0"/>
      <w:marTop w:val="100"/>
      <w:marBottom w:val="100"/>
      <w:divBdr>
        <w:top w:val="none" w:sz="0" w:space="0" w:color="auto"/>
        <w:left w:val="none" w:sz="0" w:space="0" w:color="auto"/>
        <w:bottom w:val="none" w:sz="0" w:space="0" w:color="auto"/>
        <w:right w:val="none" w:sz="0" w:space="0" w:color="auto"/>
      </w:divBdr>
    </w:div>
    <w:div w:id="1978953030">
      <w:marLeft w:val="0"/>
      <w:marRight w:val="0"/>
      <w:marTop w:val="60"/>
      <w:marBottom w:val="0"/>
      <w:divBdr>
        <w:top w:val="none" w:sz="0" w:space="0" w:color="auto"/>
        <w:left w:val="none" w:sz="0" w:space="0" w:color="auto"/>
        <w:bottom w:val="none" w:sz="0" w:space="0" w:color="auto"/>
        <w:right w:val="none" w:sz="0" w:space="0" w:color="auto"/>
      </w:divBdr>
    </w:div>
    <w:div w:id="1986229474">
      <w:marLeft w:val="0"/>
      <w:marRight w:val="0"/>
      <w:marTop w:val="100"/>
      <w:marBottom w:val="0"/>
      <w:divBdr>
        <w:top w:val="none" w:sz="0" w:space="0" w:color="auto"/>
        <w:left w:val="none" w:sz="0" w:space="0" w:color="auto"/>
        <w:bottom w:val="none" w:sz="0" w:space="0" w:color="auto"/>
        <w:right w:val="none" w:sz="0" w:space="0" w:color="auto"/>
      </w:divBdr>
    </w:div>
    <w:div w:id="1987279858">
      <w:marLeft w:val="0"/>
      <w:marRight w:val="0"/>
      <w:marTop w:val="100"/>
      <w:marBottom w:val="0"/>
      <w:divBdr>
        <w:top w:val="none" w:sz="0" w:space="0" w:color="auto"/>
        <w:left w:val="none" w:sz="0" w:space="0" w:color="auto"/>
        <w:bottom w:val="none" w:sz="0" w:space="0" w:color="auto"/>
        <w:right w:val="none" w:sz="0" w:space="0" w:color="auto"/>
      </w:divBdr>
    </w:div>
    <w:div w:id="1989942323">
      <w:marLeft w:val="0"/>
      <w:marRight w:val="0"/>
      <w:marTop w:val="0"/>
      <w:marBottom w:val="0"/>
      <w:divBdr>
        <w:top w:val="none" w:sz="0" w:space="0" w:color="auto"/>
        <w:left w:val="none" w:sz="0" w:space="0" w:color="auto"/>
        <w:bottom w:val="none" w:sz="0" w:space="0" w:color="auto"/>
        <w:right w:val="none" w:sz="0" w:space="0" w:color="auto"/>
      </w:divBdr>
    </w:div>
    <w:div w:id="1993176544">
      <w:marLeft w:val="0"/>
      <w:marRight w:val="0"/>
      <w:marTop w:val="280"/>
      <w:marBottom w:val="0"/>
      <w:divBdr>
        <w:top w:val="none" w:sz="0" w:space="0" w:color="auto"/>
        <w:left w:val="none" w:sz="0" w:space="0" w:color="auto"/>
        <w:bottom w:val="none" w:sz="0" w:space="0" w:color="auto"/>
        <w:right w:val="none" w:sz="0" w:space="0" w:color="auto"/>
      </w:divBdr>
    </w:div>
    <w:div w:id="1995335493">
      <w:marLeft w:val="0"/>
      <w:marRight w:val="0"/>
      <w:marTop w:val="40"/>
      <w:marBottom w:val="0"/>
      <w:divBdr>
        <w:top w:val="none" w:sz="0" w:space="0" w:color="auto"/>
        <w:left w:val="none" w:sz="0" w:space="0" w:color="auto"/>
        <w:bottom w:val="none" w:sz="0" w:space="0" w:color="auto"/>
        <w:right w:val="none" w:sz="0" w:space="0" w:color="auto"/>
      </w:divBdr>
    </w:div>
    <w:div w:id="1999921357">
      <w:marLeft w:val="0"/>
      <w:marRight w:val="0"/>
      <w:marTop w:val="100"/>
      <w:marBottom w:val="0"/>
      <w:divBdr>
        <w:top w:val="none" w:sz="0" w:space="0" w:color="auto"/>
        <w:left w:val="none" w:sz="0" w:space="0" w:color="auto"/>
        <w:bottom w:val="none" w:sz="0" w:space="0" w:color="auto"/>
        <w:right w:val="none" w:sz="0" w:space="0" w:color="auto"/>
      </w:divBdr>
    </w:div>
    <w:div w:id="2000041749">
      <w:marLeft w:val="0"/>
      <w:marRight w:val="0"/>
      <w:marTop w:val="100"/>
      <w:marBottom w:val="0"/>
      <w:divBdr>
        <w:top w:val="none" w:sz="0" w:space="0" w:color="auto"/>
        <w:left w:val="none" w:sz="0" w:space="0" w:color="auto"/>
        <w:bottom w:val="none" w:sz="0" w:space="0" w:color="auto"/>
        <w:right w:val="none" w:sz="0" w:space="0" w:color="auto"/>
      </w:divBdr>
    </w:div>
    <w:div w:id="2002193320">
      <w:marLeft w:val="0"/>
      <w:marRight w:val="0"/>
      <w:marTop w:val="100"/>
      <w:marBottom w:val="0"/>
      <w:divBdr>
        <w:top w:val="none" w:sz="0" w:space="0" w:color="auto"/>
        <w:left w:val="none" w:sz="0" w:space="0" w:color="auto"/>
        <w:bottom w:val="none" w:sz="0" w:space="0" w:color="auto"/>
        <w:right w:val="none" w:sz="0" w:space="0" w:color="auto"/>
      </w:divBdr>
    </w:div>
    <w:div w:id="2007636415">
      <w:marLeft w:val="0"/>
      <w:marRight w:val="0"/>
      <w:marTop w:val="280"/>
      <w:marBottom w:val="0"/>
      <w:divBdr>
        <w:top w:val="none" w:sz="0" w:space="0" w:color="auto"/>
        <w:left w:val="none" w:sz="0" w:space="0" w:color="auto"/>
        <w:bottom w:val="none" w:sz="0" w:space="0" w:color="auto"/>
        <w:right w:val="none" w:sz="0" w:space="0" w:color="auto"/>
      </w:divBdr>
    </w:div>
    <w:div w:id="2007711493">
      <w:marLeft w:val="0"/>
      <w:marRight w:val="0"/>
      <w:marTop w:val="60"/>
      <w:marBottom w:val="0"/>
      <w:divBdr>
        <w:top w:val="none" w:sz="0" w:space="0" w:color="auto"/>
        <w:left w:val="none" w:sz="0" w:space="0" w:color="auto"/>
        <w:bottom w:val="none" w:sz="0" w:space="0" w:color="auto"/>
        <w:right w:val="none" w:sz="0" w:space="0" w:color="auto"/>
      </w:divBdr>
    </w:div>
    <w:div w:id="2015835705">
      <w:marLeft w:val="0"/>
      <w:marRight w:val="0"/>
      <w:marTop w:val="0"/>
      <w:marBottom w:val="0"/>
      <w:divBdr>
        <w:top w:val="none" w:sz="0" w:space="0" w:color="auto"/>
        <w:left w:val="none" w:sz="0" w:space="0" w:color="auto"/>
        <w:bottom w:val="none" w:sz="0" w:space="0" w:color="auto"/>
        <w:right w:val="none" w:sz="0" w:space="0" w:color="auto"/>
      </w:divBdr>
      <w:divsChild>
        <w:div w:id="1211458533">
          <w:marLeft w:val="0"/>
          <w:marRight w:val="0"/>
          <w:marTop w:val="0"/>
          <w:marBottom w:val="0"/>
          <w:divBdr>
            <w:top w:val="none" w:sz="0" w:space="0" w:color="auto"/>
            <w:left w:val="none" w:sz="0" w:space="0" w:color="auto"/>
            <w:bottom w:val="none" w:sz="0" w:space="0" w:color="auto"/>
            <w:right w:val="none" w:sz="0" w:space="0" w:color="auto"/>
          </w:divBdr>
        </w:div>
      </w:divsChild>
    </w:div>
    <w:div w:id="2017148946">
      <w:marLeft w:val="0"/>
      <w:marRight w:val="0"/>
      <w:marTop w:val="100"/>
      <w:marBottom w:val="0"/>
      <w:divBdr>
        <w:top w:val="none" w:sz="0" w:space="0" w:color="auto"/>
        <w:left w:val="none" w:sz="0" w:space="0" w:color="auto"/>
        <w:bottom w:val="none" w:sz="0" w:space="0" w:color="auto"/>
        <w:right w:val="none" w:sz="0" w:space="0" w:color="auto"/>
      </w:divBdr>
    </w:div>
    <w:div w:id="2021271423">
      <w:marLeft w:val="0"/>
      <w:marRight w:val="0"/>
      <w:marTop w:val="100"/>
      <w:marBottom w:val="0"/>
      <w:divBdr>
        <w:top w:val="none" w:sz="0" w:space="0" w:color="auto"/>
        <w:left w:val="none" w:sz="0" w:space="0" w:color="auto"/>
        <w:bottom w:val="none" w:sz="0" w:space="0" w:color="auto"/>
        <w:right w:val="none" w:sz="0" w:space="0" w:color="auto"/>
      </w:divBdr>
    </w:div>
    <w:div w:id="2022199103">
      <w:marLeft w:val="0"/>
      <w:marRight w:val="0"/>
      <w:marTop w:val="280"/>
      <w:marBottom w:val="0"/>
      <w:divBdr>
        <w:top w:val="none" w:sz="0" w:space="0" w:color="auto"/>
        <w:left w:val="none" w:sz="0" w:space="0" w:color="auto"/>
        <w:bottom w:val="none" w:sz="0" w:space="0" w:color="auto"/>
        <w:right w:val="none" w:sz="0" w:space="0" w:color="auto"/>
      </w:divBdr>
    </w:div>
    <w:div w:id="2034067275">
      <w:marLeft w:val="0"/>
      <w:marRight w:val="0"/>
      <w:marTop w:val="280"/>
      <w:marBottom w:val="0"/>
      <w:divBdr>
        <w:top w:val="none" w:sz="0" w:space="0" w:color="auto"/>
        <w:left w:val="none" w:sz="0" w:space="0" w:color="auto"/>
        <w:bottom w:val="none" w:sz="0" w:space="0" w:color="auto"/>
        <w:right w:val="none" w:sz="0" w:space="0" w:color="auto"/>
      </w:divBdr>
    </w:div>
    <w:div w:id="2034921881">
      <w:marLeft w:val="0"/>
      <w:marRight w:val="0"/>
      <w:marTop w:val="100"/>
      <w:marBottom w:val="0"/>
      <w:divBdr>
        <w:top w:val="none" w:sz="0" w:space="0" w:color="auto"/>
        <w:left w:val="none" w:sz="0" w:space="0" w:color="auto"/>
        <w:bottom w:val="none" w:sz="0" w:space="0" w:color="auto"/>
        <w:right w:val="none" w:sz="0" w:space="0" w:color="auto"/>
      </w:divBdr>
    </w:div>
    <w:div w:id="2038701716">
      <w:marLeft w:val="0"/>
      <w:marRight w:val="0"/>
      <w:marTop w:val="100"/>
      <w:marBottom w:val="0"/>
      <w:divBdr>
        <w:top w:val="none" w:sz="0" w:space="0" w:color="auto"/>
        <w:left w:val="none" w:sz="0" w:space="0" w:color="auto"/>
        <w:bottom w:val="none" w:sz="0" w:space="0" w:color="auto"/>
        <w:right w:val="none" w:sz="0" w:space="0" w:color="auto"/>
      </w:divBdr>
    </w:div>
    <w:div w:id="2041122476">
      <w:marLeft w:val="0"/>
      <w:marRight w:val="0"/>
      <w:marTop w:val="100"/>
      <w:marBottom w:val="0"/>
      <w:divBdr>
        <w:top w:val="none" w:sz="0" w:space="0" w:color="auto"/>
        <w:left w:val="none" w:sz="0" w:space="0" w:color="auto"/>
        <w:bottom w:val="none" w:sz="0" w:space="0" w:color="auto"/>
        <w:right w:val="none" w:sz="0" w:space="0" w:color="auto"/>
      </w:divBdr>
    </w:div>
    <w:div w:id="2050950066">
      <w:marLeft w:val="0"/>
      <w:marRight w:val="0"/>
      <w:marTop w:val="0"/>
      <w:marBottom w:val="0"/>
      <w:divBdr>
        <w:top w:val="none" w:sz="0" w:space="0" w:color="auto"/>
        <w:left w:val="none" w:sz="0" w:space="0" w:color="auto"/>
        <w:bottom w:val="none" w:sz="0" w:space="0" w:color="auto"/>
        <w:right w:val="none" w:sz="0" w:space="0" w:color="auto"/>
      </w:divBdr>
    </w:div>
    <w:div w:id="2051226782">
      <w:marLeft w:val="0"/>
      <w:marRight w:val="0"/>
      <w:marTop w:val="100"/>
      <w:marBottom w:val="0"/>
      <w:divBdr>
        <w:top w:val="none" w:sz="0" w:space="0" w:color="auto"/>
        <w:left w:val="none" w:sz="0" w:space="0" w:color="auto"/>
        <w:bottom w:val="none" w:sz="0" w:space="0" w:color="auto"/>
        <w:right w:val="none" w:sz="0" w:space="0" w:color="auto"/>
      </w:divBdr>
    </w:div>
    <w:div w:id="2051684754">
      <w:marLeft w:val="0"/>
      <w:marRight w:val="0"/>
      <w:marTop w:val="100"/>
      <w:marBottom w:val="0"/>
      <w:divBdr>
        <w:top w:val="none" w:sz="0" w:space="0" w:color="auto"/>
        <w:left w:val="none" w:sz="0" w:space="0" w:color="auto"/>
        <w:bottom w:val="none" w:sz="0" w:space="0" w:color="auto"/>
        <w:right w:val="none" w:sz="0" w:space="0" w:color="auto"/>
      </w:divBdr>
    </w:div>
    <w:div w:id="2055348904">
      <w:marLeft w:val="0"/>
      <w:marRight w:val="0"/>
      <w:marTop w:val="100"/>
      <w:marBottom w:val="100"/>
      <w:divBdr>
        <w:top w:val="none" w:sz="0" w:space="0" w:color="auto"/>
        <w:left w:val="none" w:sz="0" w:space="0" w:color="auto"/>
        <w:bottom w:val="none" w:sz="0" w:space="0" w:color="auto"/>
        <w:right w:val="none" w:sz="0" w:space="0" w:color="auto"/>
      </w:divBdr>
    </w:div>
    <w:div w:id="2064058165">
      <w:marLeft w:val="0"/>
      <w:marRight w:val="0"/>
      <w:marTop w:val="280"/>
      <w:marBottom w:val="0"/>
      <w:divBdr>
        <w:top w:val="none" w:sz="0" w:space="0" w:color="auto"/>
        <w:left w:val="none" w:sz="0" w:space="0" w:color="auto"/>
        <w:bottom w:val="none" w:sz="0" w:space="0" w:color="auto"/>
        <w:right w:val="none" w:sz="0" w:space="0" w:color="auto"/>
      </w:divBdr>
    </w:div>
    <w:div w:id="2072192116">
      <w:marLeft w:val="0"/>
      <w:marRight w:val="0"/>
      <w:marTop w:val="100"/>
      <w:marBottom w:val="0"/>
      <w:divBdr>
        <w:top w:val="none" w:sz="0" w:space="0" w:color="auto"/>
        <w:left w:val="none" w:sz="0" w:space="0" w:color="auto"/>
        <w:bottom w:val="none" w:sz="0" w:space="0" w:color="auto"/>
        <w:right w:val="none" w:sz="0" w:space="0" w:color="auto"/>
      </w:divBdr>
    </w:div>
    <w:div w:id="2073917805">
      <w:marLeft w:val="0"/>
      <w:marRight w:val="0"/>
      <w:marTop w:val="100"/>
      <w:marBottom w:val="0"/>
      <w:divBdr>
        <w:top w:val="none" w:sz="0" w:space="0" w:color="auto"/>
        <w:left w:val="none" w:sz="0" w:space="0" w:color="auto"/>
        <w:bottom w:val="none" w:sz="0" w:space="0" w:color="auto"/>
        <w:right w:val="none" w:sz="0" w:space="0" w:color="auto"/>
      </w:divBdr>
    </w:div>
    <w:div w:id="2074694056">
      <w:marLeft w:val="0"/>
      <w:marRight w:val="0"/>
      <w:marTop w:val="280"/>
      <w:marBottom w:val="0"/>
      <w:divBdr>
        <w:top w:val="none" w:sz="0" w:space="0" w:color="auto"/>
        <w:left w:val="none" w:sz="0" w:space="0" w:color="auto"/>
        <w:bottom w:val="none" w:sz="0" w:space="0" w:color="auto"/>
        <w:right w:val="none" w:sz="0" w:space="0" w:color="auto"/>
      </w:divBdr>
    </w:div>
    <w:div w:id="2087418271">
      <w:marLeft w:val="0"/>
      <w:marRight w:val="0"/>
      <w:marTop w:val="100"/>
      <w:marBottom w:val="0"/>
      <w:divBdr>
        <w:top w:val="none" w:sz="0" w:space="0" w:color="auto"/>
        <w:left w:val="none" w:sz="0" w:space="0" w:color="auto"/>
        <w:bottom w:val="none" w:sz="0" w:space="0" w:color="auto"/>
        <w:right w:val="none" w:sz="0" w:space="0" w:color="auto"/>
      </w:divBdr>
    </w:div>
    <w:div w:id="2092703031">
      <w:marLeft w:val="0"/>
      <w:marRight w:val="0"/>
      <w:marTop w:val="100"/>
      <w:marBottom w:val="0"/>
      <w:divBdr>
        <w:top w:val="none" w:sz="0" w:space="0" w:color="auto"/>
        <w:left w:val="none" w:sz="0" w:space="0" w:color="auto"/>
        <w:bottom w:val="none" w:sz="0" w:space="0" w:color="auto"/>
        <w:right w:val="none" w:sz="0" w:space="0" w:color="auto"/>
      </w:divBdr>
    </w:div>
    <w:div w:id="2101246551">
      <w:marLeft w:val="0"/>
      <w:marRight w:val="0"/>
      <w:marTop w:val="100"/>
      <w:marBottom w:val="0"/>
      <w:divBdr>
        <w:top w:val="none" w:sz="0" w:space="0" w:color="auto"/>
        <w:left w:val="none" w:sz="0" w:space="0" w:color="auto"/>
        <w:bottom w:val="none" w:sz="0" w:space="0" w:color="auto"/>
        <w:right w:val="none" w:sz="0" w:space="0" w:color="auto"/>
      </w:divBdr>
    </w:div>
    <w:div w:id="2103453212">
      <w:marLeft w:val="0"/>
      <w:marRight w:val="0"/>
      <w:marTop w:val="160"/>
      <w:marBottom w:val="100"/>
      <w:divBdr>
        <w:top w:val="none" w:sz="0" w:space="0" w:color="auto"/>
        <w:left w:val="none" w:sz="0" w:space="0" w:color="auto"/>
        <w:bottom w:val="none" w:sz="0" w:space="0" w:color="auto"/>
        <w:right w:val="none" w:sz="0" w:space="0" w:color="auto"/>
      </w:divBdr>
    </w:div>
    <w:div w:id="2103793459">
      <w:marLeft w:val="0"/>
      <w:marRight w:val="0"/>
      <w:marTop w:val="60"/>
      <w:marBottom w:val="0"/>
      <w:divBdr>
        <w:top w:val="none" w:sz="0" w:space="0" w:color="auto"/>
        <w:left w:val="none" w:sz="0" w:space="0" w:color="auto"/>
        <w:bottom w:val="none" w:sz="0" w:space="0" w:color="auto"/>
        <w:right w:val="none" w:sz="0" w:space="0" w:color="auto"/>
      </w:divBdr>
    </w:div>
    <w:div w:id="2108109093">
      <w:marLeft w:val="0"/>
      <w:marRight w:val="0"/>
      <w:marTop w:val="40"/>
      <w:marBottom w:val="0"/>
      <w:divBdr>
        <w:top w:val="none" w:sz="0" w:space="0" w:color="auto"/>
        <w:left w:val="none" w:sz="0" w:space="0" w:color="auto"/>
        <w:bottom w:val="none" w:sz="0" w:space="0" w:color="auto"/>
        <w:right w:val="none" w:sz="0" w:space="0" w:color="auto"/>
      </w:divBdr>
    </w:div>
    <w:div w:id="2117018101">
      <w:marLeft w:val="0"/>
      <w:marRight w:val="0"/>
      <w:marTop w:val="0"/>
      <w:marBottom w:val="0"/>
      <w:divBdr>
        <w:top w:val="none" w:sz="0" w:space="0" w:color="auto"/>
        <w:left w:val="none" w:sz="0" w:space="0" w:color="auto"/>
        <w:bottom w:val="none" w:sz="0" w:space="0" w:color="auto"/>
        <w:right w:val="none" w:sz="0" w:space="0" w:color="auto"/>
      </w:divBdr>
      <w:divsChild>
        <w:div w:id="1897233717">
          <w:marLeft w:val="0"/>
          <w:marRight w:val="0"/>
          <w:marTop w:val="0"/>
          <w:marBottom w:val="0"/>
          <w:divBdr>
            <w:top w:val="none" w:sz="0" w:space="0" w:color="auto"/>
            <w:left w:val="none" w:sz="0" w:space="0" w:color="auto"/>
            <w:bottom w:val="none" w:sz="0" w:space="0" w:color="auto"/>
            <w:right w:val="none" w:sz="0" w:space="0" w:color="auto"/>
          </w:divBdr>
        </w:div>
      </w:divsChild>
    </w:div>
    <w:div w:id="2117367669">
      <w:marLeft w:val="0"/>
      <w:marRight w:val="0"/>
      <w:marTop w:val="100"/>
      <w:marBottom w:val="0"/>
      <w:divBdr>
        <w:top w:val="none" w:sz="0" w:space="0" w:color="auto"/>
        <w:left w:val="none" w:sz="0" w:space="0" w:color="auto"/>
        <w:bottom w:val="none" w:sz="0" w:space="0" w:color="auto"/>
        <w:right w:val="none" w:sz="0" w:space="0" w:color="auto"/>
      </w:divBdr>
    </w:div>
    <w:div w:id="2122993964">
      <w:marLeft w:val="0"/>
      <w:marRight w:val="0"/>
      <w:marTop w:val="60"/>
      <w:marBottom w:val="0"/>
      <w:divBdr>
        <w:top w:val="none" w:sz="0" w:space="0" w:color="auto"/>
        <w:left w:val="none" w:sz="0" w:space="0" w:color="auto"/>
        <w:bottom w:val="none" w:sz="0" w:space="0" w:color="auto"/>
        <w:right w:val="none" w:sz="0" w:space="0" w:color="auto"/>
      </w:divBdr>
    </w:div>
    <w:div w:id="2125688788">
      <w:marLeft w:val="0"/>
      <w:marRight w:val="0"/>
      <w:marTop w:val="0"/>
      <w:marBottom w:val="0"/>
      <w:divBdr>
        <w:top w:val="none" w:sz="0" w:space="0" w:color="auto"/>
        <w:left w:val="none" w:sz="0" w:space="0" w:color="auto"/>
        <w:bottom w:val="none" w:sz="0" w:space="0" w:color="auto"/>
        <w:right w:val="none" w:sz="0" w:space="0" w:color="auto"/>
      </w:divBdr>
      <w:divsChild>
        <w:div w:id="1222716155">
          <w:marLeft w:val="0"/>
          <w:marRight w:val="0"/>
          <w:marTop w:val="0"/>
          <w:marBottom w:val="0"/>
          <w:divBdr>
            <w:top w:val="none" w:sz="0" w:space="0" w:color="auto"/>
            <w:left w:val="none" w:sz="0" w:space="0" w:color="auto"/>
            <w:bottom w:val="none" w:sz="0" w:space="0" w:color="auto"/>
            <w:right w:val="none" w:sz="0" w:space="0" w:color="auto"/>
          </w:divBdr>
        </w:div>
      </w:divsChild>
    </w:div>
    <w:div w:id="2126653799">
      <w:marLeft w:val="0"/>
      <w:marRight w:val="0"/>
      <w:marTop w:val="100"/>
      <w:marBottom w:val="0"/>
      <w:divBdr>
        <w:top w:val="none" w:sz="0" w:space="0" w:color="auto"/>
        <w:left w:val="none" w:sz="0" w:space="0" w:color="auto"/>
        <w:bottom w:val="none" w:sz="0" w:space="0" w:color="auto"/>
        <w:right w:val="none" w:sz="0" w:space="0" w:color="auto"/>
      </w:divBdr>
    </w:div>
    <w:div w:id="2132161668">
      <w:marLeft w:val="0"/>
      <w:marRight w:val="0"/>
      <w:marTop w:val="0"/>
      <w:marBottom w:val="0"/>
      <w:divBdr>
        <w:top w:val="none" w:sz="0" w:space="0" w:color="auto"/>
        <w:left w:val="none" w:sz="0" w:space="0" w:color="auto"/>
        <w:bottom w:val="none" w:sz="0" w:space="0" w:color="auto"/>
        <w:right w:val="none" w:sz="0" w:space="0" w:color="auto"/>
      </w:divBdr>
      <w:divsChild>
        <w:div w:id="956133864">
          <w:marLeft w:val="0"/>
          <w:marRight w:val="0"/>
          <w:marTop w:val="0"/>
          <w:marBottom w:val="0"/>
          <w:divBdr>
            <w:top w:val="none" w:sz="0" w:space="0" w:color="auto"/>
            <w:left w:val="none" w:sz="0" w:space="0" w:color="auto"/>
            <w:bottom w:val="none" w:sz="0" w:space="0" w:color="auto"/>
            <w:right w:val="none" w:sz="0" w:space="0" w:color="auto"/>
          </w:divBdr>
        </w:div>
      </w:divsChild>
    </w:div>
    <w:div w:id="2137946658">
      <w:marLeft w:val="0"/>
      <w:marRight w:val="0"/>
      <w:marTop w:val="2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1158172/000115817220000036/scor2020q110-q.htm" TargetMode="External"/><Relationship Id="rId13" Type="http://schemas.openxmlformats.org/officeDocument/2006/relationships/hyperlink" Target="http://www.sec.gov/Archives/edgar/data/1158172/000115817220000021/scor2019q410-k.htm" TargetMode="External"/><Relationship Id="rId18" Type="http://schemas.openxmlformats.org/officeDocument/2006/relationships/hyperlink" Target="http://www.sec.gov/Archives/edgar/data/1158172/000119312517303026/d458683dex31.htm" TargetMode="External"/><Relationship Id="rId26" Type="http://schemas.openxmlformats.org/officeDocument/2006/relationships/hyperlink" Target="exhibit312-certificati.htm" TargetMode="External"/><Relationship Id="rId3" Type="http://schemas.openxmlformats.org/officeDocument/2006/relationships/webSettings" Target="webSettings.xml"/><Relationship Id="rId21" Type="http://schemas.openxmlformats.org/officeDocument/2006/relationships/hyperlink" Target="exhibit42-formofsenior.htm" TargetMode="External"/><Relationship Id="rId7" Type="http://schemas.openxmlformats.org/officeDocument/2006/relationships/hyperlink" Target="http://www.sec.gov/Archives/edgar/data/1158172/000115817220000021/scor2019q410-k.htm" TargetMode="External"/><Relationship Id="rId12" Type="http://schemas.openxmlformats.org/officeDocument/2006/relationships/hyperlink" Target="http://www.sec.gov/Archives/edgar/data/1158172/000115817220000021/scor2019q410-k.htm" TargetMode="External"/><Relationship Id="rId17" Type="http://schemas.openxmlformats.org/officeDocument/2006/relationships/hyperlink" Target="http://www.sec.gov/Archives/edgar/data/1158172/000119312517035566/d341700dex31.htm" TargetMode="External"/><Relationship Id="rId25" Type="http://schemas.openxmlformats.org/officeDocument/2006/relationships/hyperlink" Target="exhibit311-certificati.htm" TargetMode="External"/><Relationship Id="rId2" Type="http://schemas.openxmlformats.org/officeDocument/2006/relationships/settings" Target="settings.xml"/><Relationship Id="rId16" Type="http://schemas.openxmlformats.org/officeDocument/2006/relationships/hyperlink" Target="http://www.sec.gov/Archives/edgar/data/1158172/000115817218000091/certificateofamendmentauth.htm" TargetMode="External"/><Relationship Id="rId20" Type="http://schemas.openxmlformats.org/officeDocument/2006/relationships/hyperlink" Target="exhibit41-formofsenior.htm" TargetMode="External"/><Relationship Id="rId29" Type="http://schemas.openxmlformats.org/officeDocument/2006/relationships/image" Target="file:///E:\projects\LLMs\new_data_collection\data_new\htm\COMSCORE,%20INC\scor-20200630_g1.jpg" TargetMode="External"/><Relationship Id="rId1" Type="http://schemas.openxmlformats.org/officeDocument/2006/relationships/styles" Target="styles.xml"/><Relationship Id="rId6" Type="http://schemas.openxmlformats.org/officeDocument/2006/relationships/hyperlink" Target="http://www.sec.gov/Archives/edgar/data/1158172/000115817220000021/scor2019q410-k.htm" TargetMode="External"/><Relationship Id="rId11" Type="http://schemas.openxmlformats.org/officeDocument/2006/relationships/hyperlink" Target="http://www.sec.gov/Archives/edgar/data/1158172/000115817220000021/scor2019q410-k.htm" TargetMode="External"/><Relationship Id="rId24" Type="http://schemas.openxmlformats.org/officeDocument/2006/relationships/hyperlink" Target="http://www.sec.gov/Archives/edgar/data/1158172/000119312520193346/d19455dex101.htm" TargetMode="External"/><Relationship Id="rId5" Type="http://schemas.openxmlformats.org/officeDocument/2006/relationships/hyperlink" Target="https://www.sec.gov/ix?doc=/Archives/edgar/data/1158172/000115817220000036/scor2020q110-q.htm" TargetMode="External"/><Relationship Id="rId15" Type="http://schemas.openxmlformats.org/officeDocument/2006/relationships/hyperlink" Target="http://www.sec.gov/Archives/edgar/data/1158172/000095013307002643/x30988a3exv3w3.htm" TargetMode="External"/><Relationship Id="rId23" Type="http://schemas.openxmlformats.org/officeDocument/2006/relationships/hyperlink" Target="exhibit102-formofcompe.htm" TargetMode="External"/><Relationship Id="rId28" Type="http://schemas.openxmlformats.org/officeDocument/2006/relationships/hyperlink" Target="exhibit322-certificati.htm" TargetMode="External"/><Relationship Id="rId10" Type="http://schemas.openxmlformats.org/officeDocument/2006/relationships/hyperlink" Target="http://www.sec.gov/Archives/edgar/data/1158172/000115817220000021/scor2019q410-k.htm" TargetMode="External"/><Relationship Id="rId19" Type="http://schemas.openxmlformats.org/officeDocument/2006/relationships/hyperlink" Target="http://www.sec.gov/Archives/edgar/data/1158172/000115817218000160/exhibit32-amendedandrestat.htm" TargetMode="External"/><Relationship Id="rId31" Type="http://schemas.openxmlformats.org/officeDocument/2006/relationships/theme" Target="theme/theme1.xml"/><Relationship Id="rId4" Type="http://schemas.openxmlformats.org/officeDocument/2006/relationships/hyperlink" Target="https://www.sec.gov/Archives/edgar/data/1158172/000115817220000021/scor2019q410-k.htm" TargetMode="External"/><Relationship Id="rId9" Type="http://schemas.openxmlformats.org/officeDocument/2006/relationships/hyperlink" Target="https://www.sec.gov/ix?doc=/Archives/edgar/data/1158172/000115817220000036/scor2020q110-q.htm" TargetMode="External"/><Relationship Id="rId14" Type="http://schemas.openxmlformats.org/officeDocument/2006/relationships/hyperlink" Target="https://www.sec.gov/ix?doc=/Archives/edgar/data/1158172/000115817220000036/scor2020q110-q.htm" TargetMode="External"/><Relationship Id="rId22" Type="http://schemas.openxmlformats.org/officeDocument/2006/relationships/hyperlink" Target="exhibit101-dibattistes.htm" TargetMode="External"/><Relationship Id="rId27" Type="http://schemas.openxmlformats.org/officeDocument/2006/relationships/hyperlink" Target="exhibit321-certificati.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32911</Words>
  <Characters>187599</Characters>
  <Application>Microsoft Office Word</Application>
  <DocSecurity>0</DocSecurity>
  <Lines>1563</Lines>
  <Paragraphs>440</Paragraphs>
  <ScaleCrop>false</ScaleCrop>
  <Company/>
  <LinksUpToDate>false</LinksUpToDate>
  <CharactersWithSpaces>220070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scor-20200630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