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242E9">
      <w:pPr>
        <w:divId w:val="542867122"/>
        <w:rPr>
          <w:rFonts w:eastAsia="Times New Roman"/>
          <w:vanish/>
        </w:rPr>
      </w:pPr>
      <w:r>
        <w:rPr>
          <w:rFonts w:eastAsia="Times New Roman"/>
          <w:vanish/>
        </w:rPr>
        <w:t>false2020Q3000115817212/31us-gaap:AccountingStandardsUpdate201602MemberP3MP1YP1Y00011581722020-01-012020-09-30xbrli:shares00011581722020-11-05iso4217:USD00011581722020-09-3000011581722019-12-310001158172us-gaap:InvestorMember2020-09-300001158172</w:t>
      </w:r>
      <w:r>
        <w:rPr>
          <w:rFonts w:eastAsia="Times New Roman"/>
          <w:vanish/>
        </w:rPr>
        <w:t>us-gaap:InvestorMember2019-12-31iso4217:USDxbrli:shares00011581722020-07-012020-09-3000011581722019-07-012019-09-3000011581722019-01-012019-09-300001158172us-gaap:CostOfSalesMember2020-07-012020-09-300001158172us-gaap:CostOfSalesMember2019-07-012019-09-300</w:t>
      </w:r>
      <w:r>
        <w:rPr>
          <w:rFonts w:eastAsia="Times New Roman"/>
          <w:vanish/>
        </w:rPr>
        <w:t>001158172us-gaap:CostOfSalesMember2020-01-012020-09-300001158172us-gaap:CostOfSalesMember2019-01-012019-09-300001158172us-gaap:SellingAndMarketingExpenseMember2020-07-012020-09-300001158172us-gaap:SellingAndMarketingExpenseMember2019-07-012019-09-300001158</w:t>
      </w:r>
      <w:r>
        <w:rPr>
          <w:rFonts w:eastAsia="Times New Roman"/>
          <w:vanish/>
        </w:rPr>
        <w:t>172us-gaap:SellingAndMarketingExpenseMember2020-01-012020-09-300001158172us-gaap:SellingAndMarketingExpenseMember2019-01-012019-09-300001158172us-gaap:ResearchAndDevelopmentExpenseMember2020-07-012020-09-300001158172us-gaap:ResearchAndDevelopmentExpenseMem</w:t>
      </w:r>
      <w:r>
        <w:rPr>
          <w:rFonts w:eastAsia="Times New Roman"/>
          <w:vanish/>
        </w:rPr>
        <w:t>ber2019-07-012019-09-300001158172us-gaap:ResearchAndDevelopmentExpenseMember2020-01-012020-09-300001158172us-gaap:ResearchAndDevelopmentExpenseMember2019-01-012019-09-300001158172us-gaap:GeneralAndAdministrativeExpenseMember2020-07-012020-09-300001158172us</w:t>
      </w:r>
      <w:r>
        <w:rPr>
          <w:rFonts w:eastAsia="Times New Roman"/>
          <w:vanish/>
        </w:rPr>
        <w:t>-gaap:GeneralAndAdministrativeExpenseMember2019-07-012019-09-300001158172us-gaap:GeneralAndAdministrativeExpenseMember2020-01-012020-09-300001158172us-gaap:GeneralAndAdministrativeExpenseMember2019-01-012019-09-300001158172us-gaap:RestructuringChargesMembe</w:t>
      </w:r>
      <w:r>
        <w:rPr>
          <w:rFonts w:eastAsia="Times New Roman"/>
          <w:vanish/>
        </w:rPr>
        <w:t>r2020-07-012020-09-300001158172us-gaap:RestructuringChargesMember2019-07-012019-09-300001158172us-gaap:RestructuringChargesMember2020-01-012020-09-300001158172us-gaap:RestructuringChargesMember2019-01-012019-09-300001158172us-gaap:CommonStockMember2019-12-</w:t>
      </w:r>
      <w:r>
        <w:rPr>
          <w:rFonts w:eastAsia="Times New Roman"/>
          <w:vanish/>
        </w:rPr>
        <w:t>310001158172us-gaap:AdditionalPaidInCapitalMember2019-12-310001158172us-gaap:AccumulatedOtherComprehensiveIncomeMember2019-12-310001158172us-gaap:RetainedEarningsMember2019-12-310001158172us-gaap:TreasuryStockMember2019-12-310001158172us-gaap:RetainedEarni</w:t>
      </w:r>
      <w:r>
        <w:rPr>
          <w:rFonts w:eastAsia="Times New Roman"/>
          <w:vanish/>
        </w:rPr>
        <w:t>ngsMember2020-01-012020-03-3100011581722020-01-012020-03-310001158172us-gaap:AccumulatedOtherComprehensiveIncomeMember2020-01-012020-03-310001158172us-gaap:CommonStockMember2020-01-012020-03-310001158172us-gaap:AdditionalPaidInCapitalMember2020-01-012020-0</w:t>
      </w:r>
      <w:r>
        <w:rPr>
          <w:rFonts w:eastAsia="Times New Roman"/>
          <w:vanish/>
        </w:rPr>
        <w:t>3-310001158172us-gaap:CommonStockMember2020-03-310001158172us-gaap:AdditionalPaidInCapitalMember2020-03-310001158172us-gaap:AccumulatedOtherComprehensiveIncomeMember2020-03-310001158172us-gaap:RetainedEarningsMember2020-03-310001158172us-gaap:TreasuryStock</w:t>
      </w:r>
      <w:r>
        <w:rPr>
          <w:rFonts w:eastAsia="Times New Roman"/>
          <w:vanish/>
        </w:rPr>
        <w:t>Member2020-03-3100011581722020-03-310001158172us-gaap:RetainedEarningsMember2020-04-012020-06-3000011581722020-04-012020-06-300001158172us-gaap:AccumulatedOtherComprehensiveIncomeMember2020-04-012020-06-300001158172us-gaap:CommonStockMember2020-04-012020-0</w:t>
      </w:r>
      <w:r>
        <w:rPr>
          <w:rFonts w:eastAsia="Times New Roman"/>
          <w:vanish/>
        </w:rPr>
        <w:t>6-300001158172us-gaap:AdditionalPaidInCapitalMember2020-04-012020-06-300001158172us-gaap:CommonStockMember2020-06-300001158172us-gaap:AdditionalPaidInCapitalMember2020-06-300001158172us-gaap:AccumulatedOtherComprehensiveIncomeMember2020-06-300001158172us-g</w:t>
      </w:r>
      <w:r>
        <w:rPr>
          <w:rFonts w:eastAsia="Times New Roman"/>
          <w:vanish/>
        </w:rPr>
        <w:t>aap:RetainedEarningsMember2020-06-300001158172us-gaap:TreasuryStockMember2020-06-3000011581722020-06-300001158172us-gaap:RetainedEarningsMember2020-07-012020-09-300001158172us-gaap:AccumulatedOtherComprehensiveIncomeMember2020-07-012020-09-300001158172us-g</w:t>
      </w:r>
      <w:r>
        <w:rPr>
          <w:rFonts w:eastAsia="Times New Roman"/>
          <w:vanish/>
        </w:rPr>
        <w:t>aap:CommonStockMember2020-07-012020-09-300001158172us-gaap:AdditionalPaidInCapitalMember2020-07-012020-09-300001158172us-gaap:CommonStockMember2020-09-300001158172us-gaap:AdditionalPaidInCapitalMember2020-09-300001158172us-gaap:AccumulatedOtherComprehensiv</w:t>
      </w:r>
      <w:r>
        <w:rPr>
          <w:rFonts w:eastAsia="Times New Roman"/>
          <w:vanish/>
        </w:rPr>
        <w:t>eIncomeMember2020-09-300001158172us-gaap:RetainedEarningsMember2020-09-300001158172us-gaap:TreasuryStockMember2020-09-300001158172us-gaap:CommonStockMember2018-12-310001158172us-gaap:AdditionalPaidInCapitalMember2018-12-310001158172us-gaap:AccumulatedOther</w:t>
      </w:r>
      <w:r>
        <w:rPr>
          <w:rFonts w:eastAsia="Times New Roman"/>
          <w:vanish/>
        </w:rPr>
        <w:t>ComprehensiveIncomeMember2018-12-310001158172us-gaap:RetainedEarningsMember2018-12-310001158172us-gaap:TreasuryStockMember2018-12-3100011581722018-12-3100011581722018-01-012018-12-310001158172us-gaap:RetainedEarningsMembersrt:CumulativeEffectPeriodOfAdopti</w:t>
      </w:r>
      <w:r>
        <w:rPr>
          <w:rFonts w:eastAsia="Times New Roman"/>
          <w:vanish/>
        </w:rPr>
        <w:t>onAdjustmentMember2018-12-310001158172srt:CumulativeEffectPeriodOfAdoptionAdjustmentMember2018-12-310001158172us-gaap:RetainedEarningsMember2019-01-012019-03-3100011581722019-01-012019-03-310001158172us-gaap:AccumulatedOtherComprehensiveIncomeMember2019-01</w:t>
      </w:r>
      <w:r>
        <w:rPr>
          <w:rFonts w:eastAsia="Times New Roman"/>
          <w:vanish/>
        </w:rPr>
        <w:t>-012019-03-310001158172us-gaap:CommonStockMember2019-01-012019-03-310001158172us-gaap:AdditionalPaidInCapitalMember2019-01-012019-03-310001158172us-gaap:CommonStockMember2019-03-310001158172us-gaap:AdditionalPaidInCapitalMember2019-03-310001158172us-gaap:A</w:t>
      </w:r>
      <w:r>
        <w:rPr>
          <w:rFonts w:eastAsia="Times New Roman"/>
          <w:vanish/>
        </w:rPr>
        <w:t>ccumulatedOtherComprehensiveIncomeMember2019-03-310001158172us-gaap:RetainedEarningsMember2019-03-310001158172us-gaap:TreasuryStockMember2019-03-3100011581722019-03-310001158172us-gaap:RetainedEarningsMember2019-04-012019-06-3000011581722019-04-012019-06-3</w:t>
      </w:r>
      <w:r>
        <w:rPr>
          <w:rFonts w:eastAsia="Times New Roman"/>
          <w:vanish/>
        </w:rPr>
        <w:t>00001158172us-gaap:AccumulatedOtherComprehensiveIncomeMember2019-04-012019-06-300001158172us-gaap:CommonStockMember2019-04-012019-06-300001158172us-gaap:AdditionalPaidInCapitalMember2019-04-012019-06-300001158172us-gaap:CommonStockMember2019-06-30000115817</w:t>
      </w:r>
      <w:r>
        <w:rPr>
          <w:rFonts w:eastAsia="Times New Roman"/>
          <w:vanish/>
        </w:rPr>
        <w:t>2us-gaap:AdditionalPaidInCapitalMember2019-06-300001158172us-gaap:AccumulatedOtherComprehensiveIncomeMember2019-06-300001158172us-gaap:RetainedEarningsMember2019-06-300001158172us-gaap:TreasuryStockMember2019-06-3000011581722019-06-300001158172us-gaap:Reta</w:t>
      </w:r>
      <w:r>
        <w:rPr>
          <w:rFonts w:eastAsia="Times New Roman"/>
          <w:vanish/>
        </w:rPr>
        <w:t>inedEarningsMember2019-07-012019-09-300001158172us-gaap:AccumulatedOtherComprehensiveIncomeMember2019-07-012019-09-300001158172us-gaap:AdditionalPaidInCapitalMember2019-07-012019-09-300001158172us-gaap:CommonStockMember2019-07-012019-09-300001158172us-gaap</w:t>
      </w:r>
      <w:r>
        <w:rPr>
          <w:rFonts w:eastAsia="Times New Roman"/>
          <w:vanish/>
        </w:rPr>
        <w:t>:CommonStockMember2019-09-300001158172us-gaap:AdditionalPaidInCapitalMember2019-09-300001158172us-gaap:AccumulatedOtherComprehensiveIncomeMember2019-09-300001158172us-gaap:RetainedEarningsMember2019-09-300001158172us-gaap:TreasuryStockMember2019-09-3000011</w:t>
      </w:r>
      <w:r>
        <w:rPr>
          <w:rFonts w:eastAsia="Times New Roman"/>
          <w:vanish/>
        </w:rPr>
        <w:t>581722019-09-300001158172us-gaap:InvestorMember2020-01-012020-09-300001158172us-gaap:InvestorMember2019-01-012019-09-30scor:segment0001158172scor:StarboardValueLPMemberscor:StarboardNotesMemberus-gaap:ConvertibleNotesPayableMember2018-12-310001158172scor:S</w:t>
      </w:r>
      <w:r>
        <w:rPr>
          <w:rFonts w:eastAsia="Times New Roman"/>
          <w:vanish/>
        </w:rPr>
        <w:t>tarboardValueLPMemberscor:StarboardNotesMemberus-gaap:ConvertibleNotesPayableMember2018-01-012018-12-310001158172us-gaap:PrivatePlacementMember2019-06-262019-06-26scor:series_of_warrant00011581722019-10-142019-10-140001158172us-gaap:NotesPayableOtherPayabl</w:t>
      </w:r>
      <w:r>
        <w:rPr>
          <w:rFonts w:eastAsia="Times New Roman"/>
          <w:vanish/>
        </w:rPr>
        <w:t>esMemberscor:SecuredTermNoteMember2019-12-31xbrli:pure0001158172scor:StarboardNotesAndSecuredTermNoteMemberscor:ConvertibleNotesPayableAndNotesPayableMember2020-09-3000011581722019-06-012019-06-300001158172us-gaap:IncomeApproachValuationTechniqueMemberus-g</w:t>
      </w:r>
      <w:r>
        <w:rPr>
          <w:rFonts w:eastAsia="Times New Roman"/>
          <w:vanish/>
        </w:rPr>
        <w:t>aap:MeasurementInputDiscountRateMember2020-03-310001158172scor:RatingsandPlanningMember2020-07-012020-09-300001158172scor:RatingsandPlanningMember2019-07-012019-09-300001158172scor:RatingsandPlanningMember2020-01-012020-09-300001158172scor:RatingsandPlanni</w:t>
      </w:r>
      <w:r>
        <w:rPr>
          <w:rFonts w:eastAsia="Times New Roman"/>
          <w:vanish/>
        </w:rPr>
        <w:t>ngMember2019-01-012019-09-300001158172scor:AnalyticsandOptimizationMember2020-07-012020-09-300001158172scor:AnalyticsandOptimizationMember2019-07-012019-09-300001158172scor:AnalyticsandOptimizationMember2020-01-012020-09-300001158172scor:AnalyticsandOptimi</w:t>
      </w:r>
      <w:r>
        <w:rPr>
          <w:rFonts w:eastAsia="Times New Roman"/>
          <w:vanish/>
        </w:rPr>
        <w:t>zationMember2019-01-012019-09-300001158172scor:MoviesReportingandAnalyticsMember2020-07-012020-09-300001158172scor:MoviesReportingandAnalyticsMember2019-07-012019-09-300001158172scor:MoviesReportingandAnalyticsMember2020-01-012020-09-300001158172scor:Movie</w:t>
      </w:r>
      <w:r>
        <w:rPr>
          <w:rFonts w:eastAsia="Times New Roman"/>
          <w:vanish/>
        </w:rPr>
        <w:t>sReportingandAnalyticsMember2019-01-012019-09-300001158172country:USsrt:ReportableGeographicalComponentsMember2020-07-012020-09-300001158172country:USsrt:ReportableGeographicalComponentsMember2019-07-012019-09-300001158172country:USsrt:ReportableGeographic</w:t>
      </w:r>
      <w:r>
        <w:rPr>
          <w:rFonts w:eastAsia="Times New Roman"/>
          <w:vanish/>
        </w:rPr>
        <w:t>alComponentsMember2020-01-012020-09-300001158172country:USsrt:ReportableGeographicalComponentsMember2019-01-012019-09-300001158172srt:EuropeMembersrt:ReportableGeographicalComponentsMember2020-07-012020-09-300001158172srt:EuropeMembersrt:ReportableGeograph</w:t>
      </w:r>
      <w:r>
        <w:rPr>
          <w:rFonts w:eastAsia="Times New Roman"/>
          <w:vanish/>
        </w:rPr>
        <w:t>icalComponentsMember2019-07-012019-09-300001158172srt:EuropeMembersrt:ReportableGeographicalComponentsMember2020-01-012020-09-300001158172srt:EuropeMembersrt:ReportableGeographicalComponentsMember2019-01-012019-09-300001158172country:CAsrt:ReportableGeogra</w:t>
      </w:r>
      <w:r>
        <w:rPr>
          <w:rFonts w:eastAsia="Times New Roman"/>
          <w:vanish/>
        </w:rPr>
        <w:t>phicalComponentsMember2020-07-012020-09-300001158172country:CAsrt:ReportableGeographicalComponentsMember2019-07-012019-09-300001158172country:CAsrt:ReportableGeographicalComponentsMember2020-01-012020-09-300001158172country:CAsrt:ReportableGeographicalComp</w:t>
      </w:r>
      <w:r>
        <w:rPr>
          <w:rFonts w:eastAsia="Times New Roman"/>
          <w:vanish/>
        </w:rPr>
        <w:t>onentsMember2019-01-012019-09-300001158172srt:ReportableGeographicalComponentsMembersrt:LatinAmericaMember2020-07-012020-09-300001158172srt:ReportableGeographicalComponentsMembersrt:LatinAmericaMember2019-07-012019-09-300001158172srt:ReportableGeographical</w:t>
      </w:r>
      <w:r>
        <w:rPr>
          <w:rFonts w:eastAsia="Times New Roman"/>
          <w:vanish/>
        </w:rPr>
        <w:t>ComponentsMembersrt:LatinAmericaMember2020-01-012020-09-300001158172srt:ReportableGeographicalComponentsMembersrt:LatinAmericaMember2019-01-012019-09-300001158172scor:OtherCountryMembersrt:ReportableGeographicalComponentsMember2020-07-012020-09-30000115817</w:t>
      </w:r>
      <w:r>
        <w:rPr>
          <w:rFonts w:eastAsia="Times New Roman"/>
          <w:vanish/>
        </w:rPr>
        <w:t>2scor:OtherCountryMembersrt:ReportableGeographicalComponentsMember2019-07-012019-09-300001158172scor:OtherCountryMembersrt:ReportableGeographicalComponentsMember2020-01-012020-09-300001158172scor:OtherCountryMembersrt:ReportableGeographicalComponentsMember</w:t>
      </w:r>
      <w:r>
        <w:rPr>
          <w:rFonts w:eastAsia="Times New Roman"/>
          <w:vanish/>
        </w:rPr>
        <w:t>2019-01-012019-09-300001158172us-gaap:TransferredOverTimeMember2020-07-012020-09-300001158172us-gaap:TransferredOverTimeMember2019-07-012019-09-300001158172us-gaap:TransferredOverTimeMember2020-01-012020-09-300001158172us-gaap:TransferredOverTimeMember2019</w:t>
      </w:r>
      <w:r>
        <w:rPr>
          <w:rFonts w:eastAsia="Times New Roman"/>
          <w:vanish/>
        </w:rPr>
        <w:t>-01-012019-09-300001158172us-gaap:TransferredAtPointInTimeMember2020-07-012020-09-300001158172us-gaap:TransferredAtPointInTimeMember2019-07-012019-09-300001158172us-gaap:TransferredAtPointInTimeMember2020-01-012020-09-300001158172us-gaap:TransferredAtPoint</w:t>
      </w:r>
      <w:r>
        <w:rPr>
          <w:rFonts w:eastAsia="Times New Roman"/>
          <w:vanish/>
        </w:rPr>
        <w:t>InTimeMember2019-01-012019-09-300001158172scor:ContractwithCustomerLiabilityCurrentMember2020-01-012020-09-300001158172scor:ContractwithCustomerLiabilityCurrentMember2019-01-012019-09-300001158172scor:ContractWithCustomerLiabilityNoncurrentMember2020-01-01</w:t>
      </w:r>
      <w:r>
        <w:rPr>
          <w:rFonts w:eastAsia="Times New Roman"/>
          <w:vanish/>
        </w:rPr>
        <w:t>2020-09-3000011581722020-10-012020-09-3000011581722021-01-012020-09-3000011581722022-01-012020-09-300001158172scor:StarboardValueLPMemberscor:InitialNotesIssuedJanuary162018Memberus-gaap:ConvertibleNotesPayableMember2018-01-160001158172scor:StarboardValueL</w:t>
      </w:r>
      <w:r>
        <w:rPr>
          <w:rFonts w:eastAsia="Times New Roman"/>
          <w:vanish/>
        </w:rPr>
        <w:t>PMemberscor:InitialNotesIssuedJanuary162018Memberus-gaap:ConvertibleNotesPayableMember2018-01-162018-01-160001158172scor:StarboardValueLPMemberscor:InitialNotesIssuedJanuary162018Memberus-gaap:ConvertibleNotesPayableMember2019-04-03scor:day0001158172scor:S</w:t>
      </w:r>
      <w:r>
        <w:rPr>
          <w:rFonts w:eastAsia="Times New Roman"/>
          <w:vanish/>
        </w:rPr>
        <w:t>tarboardValueLPMembersrt:MinimumMemberscor:InitialNotesIssuedJanuary162018Memberus-gaap:ConvertibleNotesPayableMember2018-01-160001158172scor:StarboardValueLPMemberscor:InitialNotesIssuedJanuary162018Memberus-gaap:ConvertibleNotesPayableMember2019-01-31000</w:t>
      </w:r>
      <w:r>
        <w:rPr>
          <w:rFonts w:eastAsia="Times New Roman"/>
          <w:vanish/>
        </w:rPr>
        <w:t>1158172scor:StarboardValueLPMembersrt:MaximumMemberscor:InitialNotesIssuedJanuary162018Memberus-gaap:ConvertibleNotesPayableMember2019-01-310001158172scor:StarboardValueLPMembersrt:MaximumMemberscor:InitialNotesIssuedJanuary162018Memberus-gaap:ConvertibleN</w:t>
      </w:r>
      <w:r>
        <w:rPr>
          <w:rFonts w:eastAsia="Times New Roman"/>
          <w:vanish/>
        </w:rPr>
        <w:t>otesPayableMember2020-01-300001158172scor:StarboardValueLPMembersrt:MaximumMemberscor:InitialNotesIssuedJanuary162018Memberus-gaap:ConvertibleNotesPayableMember2018-01-160001158172scor:StarboardValueLPMemberscor:InitialNotesIssuedJanuary162018Memberus-gaap</w:t>
      </w:r>
      <w:r>
        <w:rPr>
          <w:rFonts w:eastAsia="Times New Roman"/>
          <w:vanish/>
        </w:rPr>
        <w:t>:ConvertibleNotesPayableMember2020-01-022020-01-020001158172scor:StarboardValueLPMemberscor:InitialNotesIssuedJanuary162018Memberus-gaap:ConvertibleNotesPayableMember2020-04-012020-04-010001158172scor:StarboardValueLPMemberscor:InitialNotesIssuedJanuary162</w:t>
      </w:r>
      <w:r>
        <w:rPr>
          <w:rFonts w:eastAsia="Times New Roman"/>
          <w:vanish/>
        </w:rPr>
        <w:t>018Memberus-gaap:ConvertibleNotesPayableMember2020-07-012020-07-010001158172scor:StarboardValueLPMemberscor:InitialNotesIssuedJanuary162018Memberus-gaap:ConvertibleNotesPayableMember2020-09-300001158172scor:StarboardValueLPMemberus-gaap:SubsequentEventMemb</w:t>
      </w:r>
      <w:r>
        <w:rPr>
          <w:rFonts w:eastAsia="Times New Roman"/>
          <w:vanish/>
        </w:rPr>
        <w:t>erscor:InitialNotesIssuedJanuary162018Memberus-gaap:ConvertibleNotesPayableMember2020-10-012020-10-010001158172scor:StarboardValueLPMemberscor:StarboardNotesMemberus-gaap:ConvertibleNotesPayableMember2019-08-060001158172scor:StarboardValueLPMemberscor:Opti</w:t>
      </w:r>
      <w:r>
        <w:rPr>
          <w:rFonts w:eastAsia="Times New Roman"/>
          <w:vanish/>
        </w:rPr>
        <w:t>onNotesIssuedMay172018Memberus-gaap:ConvertibleNotesPayableMember2018-05-170001158172scor:StarboardValueLPMemberscor:OptionNotesIssuedMay172018Memberus-gaap:ConvertibleNotesPayableMember2018-05-172018-05-170001158172scor:InitialNotesIssuedJanuary162018Memb</w:t>
      </w:r>
      <w:r>
        <w:rPr>
          <w:rFonts w:eastAsia="Times New Roman"/>
          <w:vanish/>
        </w:rPr>
        <w:t>erus-gaap:ConvertibleNotesPayableMember2020-09-300001158172scor:OptionNotesIssuedMay172018Memberus-gaap:ConvertibleNotesPayableMember2020-09-300001158172us-gaap:ConvertibleNotesPayableMember2020-09-300001158172scor:InitialNotesIssuedJanuary162018Memberus-g</w:t>
      </w:r>
      <w:r>
        <w:rPr>
          <w:rFonts w:eastAsia="Times New Roman"/>
          <w:vanish/>
        </w:rPr>
        <w:t>aap:ConvertibleNotesPayableMember2019-12-310001158172scor:OptionNotesIssuedMay172018Memberus-gaap:ConvertibleNotesPayableMember2019-12-310001158172us-gaap:ConvertibleNotesPayableMember2019-12-310001158172us-gaap:ConvertibleNotesPayableMember2020-07-012020-</w:t>
      </w:r>
      <w:r>
        <w:rPr>
          <w:rFonts w:eastAsia="Times New Roman"/>
          <w:vanish/>
        </w:rPr>
        <w:t>09-300001158172us-gaap:ConvertibleNotesPayableMember2020-01-012020-09-300001158172us-gaap:ConvertibleNotesPayableMember2019-07-012019-09-300001158172us-gaap:ConvertibleNotesPayableMember2019-01-012019-09-300001158172us-gaap:FairValueInputsLevel3Memberus-ga</w:t>
      </w:r>
      <w:r>
        <w:rPr>
          <w:rFonts w:eastAsia="Times New Roman"/>
          <w:vanish/>
        </w:rPr>
        <w:t>ap:ConvertibleNotesPayableMember2020-09-300001158172us-gaap:NotesPayableOtherPayablesMemberscor:SecuredTermNoteMember2020-09-300001158172us-gaap:NotesPayableOtherPayablesMemberscor:SecuredTermNoteMember2020-07-012020-09-300001158172us-gaap:NotesPayableOthe</w:t>
      </w:r>
      <w:r>
        <w:rPr>
          <w:rFonts w:eastAsia="Times New Roman"/>
          <w:vanish/>
        </w:rPr>
        <w:t>rPayablesMemberscor:SecuredTermNoteMember2020-01-012020-09-300001158172us-gaap:NotesPayableOtherPayablesMemberscor:SecuredTermNoteMemberus-gaap:FairValueInputsLevel3Member2020-09-300001158172scor:WellsFargoBankN.A.Memberus-gaap:LetterOfCreditMember2020-09-</w:t>
      </w:r>
      <w:r>
        <w:rPr>
          <w:rFonts w:eastAsia="Times New Roman"/>
          <w:vanish/>
        </w:rPr>
        <w:t>300001158172scor:SaleLeasebackTransactionMember2019-06-012019-06-300001158172scor:SaleLeasebackTransactionMember2020-09-300001158172us-gaap:PrivatePlacementMember2019-06-260001158172scor:SeriesB1WarrantMemberus-gaap:PrivatePlacementMember2019-06-262019-06-</w:t>
      </w:r>
      <w:r>
        <w:rPr>
          <w:rFonts w:eastAsia="Times New Roman"/>
          <w:vanish/>
        </w:rPr>
        <w:t>260001158172scor:SeriesB1WarrantMemberus-gaap:PrivatePlacementMember2019-06-260001158172scor:SeriesB2WarrantMemberus-gaap:PrivatePlacementMember2019-06-262019-06-260001158172scor:SeriesB2WarrantMemberus-gaap:PrivatePlacementMember2019-06-260001158172us-gaa</w:t>
      </w:r>
      <w:r>
        <w:rPr>
          <w:rFonts w:eastAsia="Times New Roman"/>
          <w:vanish/>
        </w:rPr>
        <w:t>p:PrivatePlacementMemberscor:SeriesAWarrantMember2019-06-262019-06-260001158172us-gaap:PrivatePlacementMemberscor:SeriesAWarrantMember2019-06-260001158172scor:SeriesCWarrantMemberus-gaap:PrivatePlacementMember2019-06-260001158172scor:SeriesAWarrantMember20</w:t>
      </w:r>
      <w:r>
        <w:rPr>
          <w:rFonts w:eastAsia="Times New Roman"/>
          <w:vanish/>
        </w:rPr>
        <w:t>19-10-142019-10-140001158172us-gaap:FairValueMeasurementsRecurringMemberus-gaap:MoneyMarketFundsMemberus-gaap:FairValueInputsLevel1Member2020-09-300001158172us-gaap:FairValueInputsLevel2Memberus-gaap:FairValueMeasurementsRecurringMemberus-gaap:MoneyMarketF</w:t>
      </w:r>
      <w:r>
        <w:rPr>
          <w:rFonts w:eastAsia="Times New Roman"/>
          <w:vanish/>
        </w:rPr>
        <w:t>undsMember2020-09-300001158172us-gaap:FairValueInputsLevel3Memberus-gaap:FairValueMeasurementsRecurringMemberus-gaap:MoneyMarketFundsMember2020-09-300001158172us-gaap:FairValueMeasurementsRecurringMemberus-gaap:MoneyMarketFundsMember2020-09-300001158172us-</w:t>
      </w:r>
      <w:r>
        <w:rPr>
          <w:rFonts w:eastAsia="Times New Roman"/>
          <w:vanish/>
        </w:rPr>
        <w:t>gaap:FairValueMeasurementsRecurringMemberus-gaap:MoneyMarketFundsMemberus-gaap:FairValueInputsLevel1Member2019-12-310001158172us-gaap:FairValueInputsLevel2Memberus-gaap:FairValueMeasurementsRecurringMemberus-gaap:MoneyMarketFundsMember2019-12-310001158172u</w:t>
      </w:r>
      <w:r>
        <w:rPr>
          <w:rFonts w:eastAsia="Times New Roman"/>
          <w:vanish/>
        </w:rPr>
        <w:t>s-gaap:FairValueInputsLevel3Memberus-gaap:FairValueMeasurementsRecurringMemberus-gaap:MoneyMarketFundsMember2019-12-310001158172us-gaap:FairValueMeasurementsRecurringMemberus-gaap:MoneyMarketFundsMember2019-12-310001158172us-gaap:CertificatesOfDepositMembe</w:t>
      </w:r>
      <w:r>
        <w:rPr>
          <w:rFonts w:eastAsia="Times New Roman"/>
          <w:vanish/>
        </w:rPr>
        <w:t>rus-gaap:FairValueMeasurementsRecurringMemberus-gaap:FairValueInputsLevel1Member2020-09-300001158172us-gaap:CertificatesOfDepositMemberus-gaap:FairValueInputsLevel2Memberus-gaap:FairValueMeasurementsRecurringMember2020-09-300001158172us-gaap:CertificatesOf</w:t>
      </w:r>
      <w:r>
        <w:rPr>
          <w:rFonts w:eastAsia="Times New Roman"/>
          <w:vanish/>
        </w:rPr>
        <w:t>DepositMemberus-gaap:FairValueInputsLevel3Memberus-gaap:FairValueMeasurementsRecurringMember2020-09-300001158172us-gaap:CertificatesOfDepositMemberus-gaap:FairValueMeasurementsRecurringMember2020-09-300001158172us-gaap:CertificatesOfDepositMemberus-gaap:Fa</w:t>
      </w:r>
      <w:r>
        <w:rPr>
          <w:rFonts w:eastAsia="Times New Roman"/>
          <w:vanish/>
        </w:rPr>
        <w:t>irValueMeasurementsRecurringMemberus-gaap:FairValueInputsLevel1Member2019-12-310001158172us-gaap:CertificatesOfDepositMemberus-gaap:FairValueInputsLevel2Memberus-gaap:FairValueMeasurementsRecurringMember2019-12-310001158172us-gaap:CertificatesOfDepositMemb</w:t>
      </w:r>
      <w:r>
        <w:rPr>
          <w:rFonts w:eastAsia="Times New Roman"/>
          <w:vanish/>
        </w:rPr>
        <w:t>erus-gaap:FairValueInputsLevel3Memberus-gaap:FairValueMeasurementsRecurringMember2019-12-310001158172us-gaap:CertificatesOfDepositMemberus-gaap:FairValueMeasurementsRecurringMember2019-12-310001158172us-gaap:FairValueMeasurementsRecurringMemberus-gaap:Fair</w:t>
      </w:r>
      <w:r>
        <w:rPr>
          <w:rFonts w:eastAsia="Times New Roman"/>
          <w:vanish/>
        </w:rPr>
        <w:t>ValueInputsLevel1Member2020-09-300001158172us-gaap:FairValueInputsLevel2Memberus-gaap:FairValueMeasurementsRecurringMember2020-09-300001158172us-gaap:FairValueInputsLevel3Memberus-gaap:FairValueMeasurementsRecurringMember2020-09-300001158172us-gaap:FairVal</w:t>
      </w:r>
      <w:r>
        <w:rPr>
          <w:rFonts w:eastAsia="Times New Roman"/>
          <w:vanish/>
        </w:rPr>
        <w:t>ueMeasurementsRecurringMember2020-09-300001158172us-gaap:FairValueMeasurementsRecurringMemberus-gaap:FairValueInputsLevel1Member2019-12-310001158172us-gaap:FairValueInputsLevel2Memberus-gaap:FairValueMeasurementsRecurringMember2019-12-310001158172us-gaap:F</w:t>
      </w:r>
      <w:r>
        <w:rPr>
          <w:rFonts w:eastAsia="Times New Roman"/>
          <w:vanish/>
        </w:rPr>
        <w:t>airValueInputsLevel3Memberus-gaap:FairValueMeasurementsRecurringMember2019-12-310001158172us-gaap:FairValueMeasurementsRecurringMember2019-12-310001158172us-gaap:NondesignatedMemberus-gaap:FairValueMeasurementsRecurringMemberus-gaap:InterestRateContractMem</w:t>
      </w:r>
      <w:r>
        <w:rPr>
          <w:rFonts w:eastAsia="Times New Roman"/>
          <w:vanish/>
        </w:rPr>
        <w:t>berus-gaap:FairValueInputsLevel1Member2020-09-300001158172us-gaap:NondesignatedMemberus-gaap:FairValueInputsLevel2Memberus-gaap:FairValueMeasurementsRecurringMemberus-gaap:InterestRateContractMember2020-09-300001158172us-gaap:NondesignatedMemberus-gaap:Fai</w:t>
      </w:r>
      <w:r>
        <w:rPr>
          <w:rFonts w:eastAsia="Times New Roman"/>
          <w:vanish/>
        </w:rPr>
        <w:t>rValueInputsLevel3Memberus-gaap:FairValueMeasurementsRecurringMemberus-gaap:InterestRateContractMember2020-09-300001158172us-gaap:NondesignatedMemberus-gaap:FairValueMeasurementsRecurringMemberus-gaap:InterestRateContractMember2020-09-300001158172us-gaap:N</w:t>
      </w:r>
      <w:r>
        <w:rPr>
          <w:rFonts w:eastAsia="Times New Roman"/>
          <w:vanish/>
        </w:rPr>
        <w:t>ondesignatedMemberus-gaap:FairValueMeasurementsRecurringMemberus-gaap:InterestRateContractMemberus-gaap:FairValueInputsLevel1Member2019-12-310001158172us-gaap:NondesignatedMemberus-gaap:FairValueInputsLevel2Memberus-gaap:FairValueMeasurementsRecurringMembe</w:t>
      </w:r>
      <w:r>
        <w:rPr>
          <w:rFonts w:eastAsia="Times New Roman"/>
          <w:vanish/>
        </w:rPr>
        <w:t>rus-gaap:InterestRateContractMember2019-12-310001158172us-gaap:NondesignatedMemberus-gaap:FairValueInputsLevel3Memberus-gaap:FairValueMeasurementsRecurringMemberus-gaap:InterestRateContractMember2019-12-310001158172us-gaap:NondesignatedMemberus-gaap:FairVa</w:t>
      </w:r>
      <w:r>
        <w:rPr>
          <w:rFonts w:eastAsia="Times New Roman"/>
          <w:vanish/>
        </w:rPr>
        <w:t>lueMeasurementsRecurringMemberus-gaap:InterestRateContractMember2019-12-310001158172us-gaap:NondesignatedMemberscor:MakeWholeChangeOfControlMemberus-gaap:FairValueMeasurementsRecurringMemberus-gaap:FairValueInputsLevel1Member2020-09-300001158172us-gaap:Non</w:t>
      </w:r>
      <w:r>
        <w:rPr>
          <w:rFonts w:eastAsia="Times New Roman"/>
          <w:vanish/>
        </w:rPr>
        <w:t>designatedMemberscor:MakeWholeChangeOfControlMemberus-gaap:FairValueInputsLevel2Memberus-gaap:FairValueMeasurementsRecurringMember2020-09-300001158172us-gaap:NondesignatedMemberscor:MakeWholeChangeOfControlMemberus-gaap:FairValueInputsLevel3Memberus-gaap:F</w:t>
      </w:r>
      <w:r>
        <w:rPr>
          <w:rFonts w:eastAsia="Times New Roman"/>
          <w:vanish/>
        </w:rPr>
        <w:t>airValueMeasurementsRecurringMember2020-09-300001158172us-gaap:NondesignatedMemberscor:MakeWholeChangeOfControlMemberus-gaap:FairValueMeasurementsRecurringMember2020-09-300001158172us-gaap:NondesignatedMemberscor:MakeWholeChangeOfControlMemberus-gaap:FairV</w:t>
      </w:r>
      <w:r>
        <w:rPr>
          <w:rFonts w:eastAsia="Times New Roman"/>
          <w:vanish/>
        </w:rPr>
        <w:t>alueMeasurementsRecurringMemberus-gaap:FairValueInputsLevel1Member2019-12-310001158172us-gaap:NondesignatedMemberscor:MakeWholeChangeOfControlMemberus-gaap:FairValueInputsLevel2Memberus-gaap:FairValueMeasurementsRecurringMember2019-12-310001158172us-gaap:N</w:t>
      </w:r>
      <w:r>
        <w:rPr>
          <w:rFonts w:eastAsia="Times New Roman"/>
          <w:vanish/>
        </w:rPr>
        <w:t>ondesignatedMemberscor:MakeWholeChangeOfControlMemberus-gaap:FairValueInputsLevel3Memberus-gaap:FairValueMeasurementsRecurringMember2019-12-310001158172us-gaap:NondesignatedMemberscor:MakeWholeChangeOfControlMemberus-gaap:FairValueMeasurementsRecurringMemb</w:t>
      </w:r>
      <w:r>
        <w:rPr>
          <w:rFonts w:eastAsia="Times New Roman"/>
          <w:vanish/>
        </w:rPr>
        <w:t>er2019-12-310001158172us-gaap:NondesignatedMemberscor:ChangeinControlMemberus-gaap:FairValueMeasurementsRecurringMemberus-gaap:FairValueInputsLevel1Member2020-09-300001158172us-gaap:NondesignatedMemberscor:ChangeinControlMemberus-gaap:FairValueInputsLevel2</w:t>
      </w:r>
      <w:r>
        <w:rPr>
          <w:rFonts w:eastAsia="Times New Roman"/>
          <w:vanish/>
        </w:rPr>
        <w:t>Memberus-gaap:FairValueMeasurementsRecurringMember2020-09-300001158172us-gaap:NondesignatedMemberus-gaap:FairValueInputsLevel3Memberscor:ChangeinControlMemberus-gaap:FairValueMeasurementsRecurringMember2020-09-300001158172us-gaap:NondesignatedMemberscor:Ch</w:t>
      </w:r>
      <w:r>
        <w:rPr>
          <w:rFonts w:eastAsia="Times New Roman"/>
          <w:vanish/>
        </w:rPr>
        <w:t>angeinControlMemberus-gaap:FairValueMeasurementsRecurringMember2020-09-300001158172us-gaap:NondesignatedMemberscor:ChangeinControlMemberus-gaap:FairValueMeasurementsRecurringMemberus-gaap:FairValueInputsLevel1Member2019-12-310001158172us-gaap:Nondesignated</w:t>
      </w:r>
      <w:r>
        <w:rPr>
          <w:rFonts w:eastAsia="Times New Roman"/>
          <w:vanish/>
        </w:rPr>
        <w:t>Memberscor:ChangeinControlMemberus-gaap:FairValueInputsLevel2Memberus-gaap:FairValueMeasurementsRecurringMember2019-12-310001158172us-gaap:NondesignatedMemberus-gaap:FairValueInputsLevel3Memberscor:ChangeinControlMemberus-gaap:FairValueMeasurementsRecurrin</w:t>
      </w:r>
      <w:r>
        <w:rPr>
          <w:rFonts w:eastAsia="Times New Roman"/>
          <w:vanish/>
        </w:rPr>
        <w:t>gMember2019-12-310001158172us-gaap:NondesignatedMemberscor:ChangeinControlMemberus-gaap:FairValueMeasurementsRecurringMember2019-12-310001158172us-gaap:FairValueMeasurementsRecurringMemberscor:SeriesAWarrantMemberus-gaap:FairValueInputsLevel1Member2020-09-</w:t>
      </w:r>
      <w:r>
        <w:rPr>
          <w:rFonts w:eastAsia="Times New Roman"/>
          <w:vanish/>
        </w:rPr>
        <w:t>300001158172us-gaap:FairValueInputsLevel2Memberus-gaap:FairValueMeasurementsRecurringMemberscor:SeriesAWarrantMember2020-09-300001158172us-gaap:FairValueInputsLevel3Memberus-gaap:FairValueMeasurementsRecurringMemberscor:SeriesAWarrantMember2020-09-30000115</w:t>
      </w:r>
      <w:r>
        <w:rPr>
          <w:rFonts w:eastAsia="Times New Roman"/>
          <w:vanish/>
        </w:rPr>
        <w:t>8172us-gaap:FairValueMeasurementsRecurringMemberscor:SeriesAWarrantMember2020-09-300001158172us-gaap:FairValueMeasurementsRecurringMemberscor:SeriesAWarrantMemberus-gaap:FairValueInputsLevel1Member2019-12-310001158172us-gaap:FairValueInputsLevel2Memberus-g</w:t>
      </w:r>
      <w:r>
        <w:rPr>
          <w:rFonts w:eastAsia="Times New Roman"/>
          <w:vanish/>
        </w:rPr>
        <w:t>aap:FairValueMeasurementsRecurringMemberscor:SeriesAWarrantMember2019-12-310001158172us-gaap:FairValueInputsLevel3Memberus-gaap:FairValueMeasurementsRecurringMemberscor:SeriesAWarrantMember2019-12-310001158172us-gaap:FairValueMeasurementsRecurringMembersco</w:t>
      </w:r>
      <w:r>
        <w:rPr>
          <w:rFonts w:eastAsia="Times New Roman"/>
          <w:vanish/>
        </w:rPr>
        <w:t>r:SeriesAWarrantMember2019-12-310001158172scor:SeriesB2WarrantMemberus-gaap:FairValueMeasurementsRecurringMemberus-gaap:FairValueInputsLevel1Member2020-09-300001158172scor:SeriesB2WarrantMemberus-gaap:FairValueInputsLevel2Memberus-gaap:FairValueMeasurement</w:t>
      </w:r>
      <w:r>
        <w:rPr>
          <w:rFonts w:eastAsia="Times New Roman"/>
          <w:vanish/>
        </w:rPr>
        <w:t>sRecurringMember2020-09-300001158172scor:SeriesB2WarrantMemberus-gaap:FairValueInputsLevel3Memberus-gaap:FairValueMeasurementsRecurringMember2020-09-300001158172scor:SeriesB2WarrantMemberus-gaap:FairValueMeasurementsRecurringMember2020-09-300001158172scor:</w:t>
      </w:r>
      <w:r>
        <w:rPr>
          <w:rFonts w:eastAsia="Times New Roman"/>
          <w:vanish/>
        </w:rPr>
        <w:t>SeriesB2WarrantMemberus-gaap:FairValueMeasurementsRecurringMemberus-gaap:FairValueInputsLevel1Member2019-12-310001158172scor:SeriesB2WarrantMemberus-gaap:FairValueInputsLevel2Memberus-gaap:FairValueMeasurementsRecurringMember2019-12-310001158172scor:Series</w:t>
      </w:r>
      <w:r>
        <w:rPr>
          <w:rFonts w:eastAsia="Times New Roman"/>
          <w:vanish/>
        </w:rPr>
        <w:t>B2WarrantMemberus-gaap:FairValueInputsLevel3Memberus-gaap:FairValueMeasurementsRecurringMember2019-12-310001158172scor:SeriesB2WarrantMemberus-gaap:FairValueMeasurementsRecurringMember2019-12-310001158172us-gaap:FairValueInputsLevel1Member2020-09-300001158</w:t>
      </w:r>
      <w:r>
        <w:rPr>
          <w:rFonts w:eastAsia="Times New Roman"/>
          <w:vanish/>
        </w:rPr>
        <w:t>172us-gaap:DerivativeFinancialInstrumentsLiabilitiesMemberus-gaap:FairValueInputsLevel3Member2019-12-310001158172us-gaap:WarrantMemberus-gaap:FairValueInputsLevel3Member2019-12-310001158172us-gaap:DerivativeFinancialInstrumentsLiabilitiesMemberus-gaap:Fair</w:t>
      </w:r>
      <w:r>
        <w:rPr>
          <w:rFonts w:eastAsia="Times New Roman"/>
          <w:vanish/>
        </w:rPr>
        <w:t>ValueInputsLevel3Member2020-01-012020-09-300001158172us-gaap:WarrantMemberus-gaap:FairValueInputsLevel3Member2020-01-012020-09-300001158172us-gaap:DerivativeFinancialInstrumentsLiabilitiesMemberus-gaap:FairValueInputsLevel3Member2020-09-300001158172us-gaap</w:t>
      </w:r>
      <w:r>
        <w:rPr>
          <w:rFonts w:eastAsia="Times New Roman"/>
          <w:vanish/>
        </w:rPr>
        <w:t>:WarrantMemberus-gaap:FairValueInputsLevel3Member2020-09-300001158172us-gaap:FairValueInputsLevel3Memberus-gaap:InterestRateContractMember2020-01-012020-09-300001158172scor:MakeWholeChangeOfControlMemberus-gaap:FairValueInputsLevel3Member2020-01-012020-09-</w:t>
      </w:r>
      <w:r>
        <w:rPr>
          <w:rFonts w:eastAsia="Times New Roman"/>
          <w:vanish/>
        </w:rPr>
        <w:t>300001158172us-gaap:FairValueInputsLevel3Memberscor:ChangeinControlMember2020-01-012020-09-300001158172us-gaap:WarrantMemberus-gaap:FairValueInputsLevel3Memberscor:SeriesAWarrantMember2020-01-012020-09-300001158172us-gaap:WarrantMemberscor:SeriesB2WarrantM</w:t>
      </w:r>
      <w:r>
        <w:rPr>
          <w:rFonts w:eastAsia="Times New Roman"/>
          <w:vanish/>
        </w:rPr>
        <w:t>emberus-gaap:FairValueInputsLevel3Member2020-01-012020-09-300001158172us-gaap:DerivativeFinancialInstrumentsLiabilitiesMemberus-gaap:FairValueInputsLevel3Member2018-12-310001158172us-gaap:WarrantMemberus-gaap:FairValueInputsLevel3Member2018-12-310001158172</w:t>
      </w:r>
      <w:r>
        <w:rPr>
          <w:rFonts w:eastAsia="Times New Roman"/>
          <w:vanish/>
        </w:rPr>
        <w:t>us-gaap:DerivativeFinancialInstrumentsLiabilitiesMemberus-gaap:FairValueInputsLevel3Member2019-01-012019-09-300001158172us-gaap:WarrantMemberus-gaap:FairValueInputsLevel3Member2019-01-012019-09-300001158172us-gaap:DerivativeFinancialInstrumentsLiabilitiesM</w:t>
      </w:r>
      <w:r>
        <w:rPr>
          <w:rFonts w:eastAsia="Times New Roman"/>
          <w:vanish/>
        </w:rPr>
        <w:t>emberus-gaap:FairValueInputsLevel3Member2019-09-300001158172us-gaap:WarrantMemberus-gaap:FairValueInputsLevel3Member2019-09-300001158172us-gaap:FairValueInputsLevel3Memberus-gaap:InterestRateContractMember2019-01-012019-09-300001158172scor:MakeWholeChangeO</w:t>
      </w:r>
      <w:r>
        <w:rPr>
          <w:rFonts w:eastAsia="Times New Roman"/>
          <w:vanish/>
        </w:rPr>
        <w:t>fControlMemberus-gaap:FairValueInputsLevel3Member2019-01-012019-09-300001158172us-gaap:WarrantMemberus-gaap:FairValueInputsLevel3Memberscor:SeriesAWarrantMember2019-01-012019-09-300001158172us-gaap:WarrantMemberscor:SeriesB1WarrantMemberus-gaap:FairValueIn</w:t>
      </w:r>
      <w:r>
        <w:rPr>
          <w:rFonts w:eastAsia="Times New Roman"/>
          <w:vanish/>
        </w:rPr>
        <w:t>putsLevel3Member2019-01-012019-09-300001158172us-gaap:WarrantMemberscor:SeriesB2WarrantMemberus-gaap:FairValueInputsLevel3Member2019-01-012019-09-300001158172us-gaap:WarrantMemberus-gaap:FairValueInputsLevel3Memberscor:SeriesCWarrantMember2019-01-012019-09</w:t>
      </w:r>
      <w:r>
        <w:rPr>
          <w:rFonts w:eastAsia="Times New Roman"/>
          <w:vanish/>
        </w:rPr>
        <w:t>-300001158172us-gaap:ValuationTechniqueDiscountedCashFlowMemberus-gaap:MeasurementInputDiscountRateMemberus-gaap:FairValueInputsLevel3Memberus-gaap:DerivativeMemberus-gaap:InterestRateContractMember2020-09-300001158172us-gaap:ValuationTechniqueDiscountedCa</w:t>
      </w:r>
      <w:r>
        <w:rPr>
          <w:rFonts w:eastAsia="Times New Roman"/>
          <w:vanish/>
        </w:rPr>
        <w:t>shFlowMemberus-gaap:MeasurementInputDiscountRateMemberus-gaap:FairValueInputsLevel3Memberus-gaap:DerivativeMemberus-gaap:InterestRateContractMember2019-12-310001158172us-gaap:ValuationTechniqueDiscountedCashFlowMemberus-gaap:FairValueInputsLevel3Memberus-g</w:t>
      </w:r>
      <w:r>
        <w:rPr>
          <w:rFonts w:eastAsia="Times New Roman"/>
          <w:vanish/>
        </w:rPr>
        <w:t>aap:MeasurementInputSharePriceMemberus-gaap:DerivativeMemberus-gaap:InterestRateContractMember2020-09-300001158172us-gaap:ValuationTechniqueDiscountedCashFlowMemberus-gaap:FairValueInputsLevel3Memberus-gaap:MeasurementInputSharePriceMemberus-gaap:Derivativ</w:t>
      </w:r>
      <w:r>
        <w:rPr>
          <w:rFonts w:eastAsia="Times New Roman"/>
          <w:vanish/>
        </w:rPr>
        <w:t>eMemberus-gaap:InterestRateContractMember2019-12-310001158172us-gaap:ValuationTechniqueDiscountedCashFlowMemberus-gaap:FairValueInputsLevel3Memberus-gaap:MeasurementInputPriceVolatilityMemberus-gaap:DerivativeMemberus-gaap:InterestRateContractMember2020-09</w:t>
      </w:r>
      <w:r>
        <w:rPr>
          <w:rFonts w:eastAsia="Times New Roman"/>
          <w:vanish/>
        </w:rPr>
        <w:t>-300001158172us-gaap:ValuationTechniqueDiscountedCashFlowMemberus-gaap:FairValueInputsLevel3Memberus-gaap:MeasurementInputPriceVolatilityMemberus-gaap:DerivativeMemberus-gaap:InterestRateContractMember2019-12-31utr:Y0001158172us-gaap:ValuationTechniqueDisc</w:t>
      </w:r>
      <w:r>
        <w:rPr>
          <w:rFonts w:eastAsia="Times New Roman"/>
          <w:vanish/>
        </w:rPr>
        <w:t>ountedCashFlowMemberus-gaap:FairValueInputsLevel3Memberus-gaap:MeasurementInputExpectedTermMemberus-gaap:DerivativeMemberus-gaap:InterestRateContractMember2020-09-300001158172us-gaap:ValuationTechniqueDiscountedCashFlowMemberus-gaap:FairValueInputsLevel3Me</w:t>
      </w:r>
      <w:r>
        <w:rPr>
          <w:rFonts w:eastAsia="Times New Roman"/>
          <w:vanish/>
        </w:rPr>
        <w:t>mberus-gaap:MeasurementInputExpectedTermMemberus-gaap:DerivativeMemberus-gaap:InterestRateContractMember2019-12-310001158172us-gaap:MeasurementInputRiskFreeInterestRateMemberus-gaap:ValuationTechniqueDiscountedCashFlowMemberus-gaap:FairValueInputsLevel3Mem</w:t>
      </w:r>
      <w:r>
        <w:rPr>
          <w:rFonts w:eastAsia="Times New Roman"/>
          <w:vanish/>
        </w:rPr>
        <w:t>berus-gaap:DerivativeMemberus-gaap:InterestRateContractMember2020-09-300001158172us-gaap:MeasurementInputRiskFreeInterestRateMemberus-gaap:ValuationTechniqueDiscountedCashFlowMemberus-gaap:FairValueInputsLevel3Memberus-gaap:DerivativeMemberus-gaap:Interest</w:t>
      </w:r>
      <w:r>
        <w:rPr>
          <w:rFonts w:eastAsia="Times New Roman"/>
          <w:vanish/>
        </w:rPr>
        <w:t>RateContractMember2019-12-310001158172scor:MakeWholeChangeOfControlMemberscor:OptionPricingModelValuationTechniqueMemberus-gaap:FairValueInputsLevel3Membersrt:MinimumMemberus-gaap:DerivativeMemberscor:MeasurementInputChangeOfControlProbabilityRateMember202</w:t>
      </w:r>
      <w:r>
        <w:rPr>
          <w:rFonts w:eastAsia="Times New Roman"/>
          <w:vanish/>
        </w:rPr>
        <w:t>0-09-300001158172srt:MaximumMemberscor:MakeWholeChangeOfControlMemberscor:OptionPricingModelValuationTechniqueMemberus-gaap:FairValueInputsLevel3Memberus-gaap:DerivativeMemberscor:MeasurementInputChangeOfControlProbabilityRateMember2020-09-300001158172scor</w:t>
      </w:r>
      <w:r>
        <w:rPr>
          <w:rFonts w:eastAsia="Times New Roman"/>
          <w:vanish/>
        </w:rPr>
        <w:t>:MakeWholeChangeOfControlMemberscor:OptionPricingModelValuationTechniqueMemberus-gaap:FairValueInputsLevel3Membersrt:MinimumMemberus-gaap:DerivativeMemberscor:MeasurementInputChangeOfControlProbabilityRateMember2019-12-310001158172srt:MaximumMemberscor:Mak</w:t>
      </w:r>
      <w:r>
        <w:rPr>
          <w:rFonts w:eastAsia="Times New Roman"/>
          <w:vanish/>
        </w:rPr>
        <w:t>eWholeChangeOfControlMemberscor:OptionPricingModelValuationTechniqueMemberus-gaap:FairValueInputsLevel3Memberus-gaap:DerivativeMemberscor:MeasurementInputChangeOfControlProbabilityRateMember2019-12-310001158172scor:MakeWholeChangeOfControlMemberscor:Option</w:t>
      </w:r>
      <w:r>
        <w:rPr>
          <w:rFonts w:eastAsia="Times New Roman"/>
          <w:vanish/>
        </w:rPr>
        <w:t>PricingModelValuationTechniqueMemberus-gaap:FairValueInputsLevel3Memberus-gaap:MeasurementInputExpectedTermMemberus-gaap:DerivativeMember2020-09-300001158172scor:MakeWholeChangeOfControlMemberscor:OptionPricingModelValuationTechniqueMemberus-gaap:FairValue</w:t>
      </w:r>
      <w:r>
        <w:rPr>
          <w:rFonts w:eastAsia="Times New Roman"/>
          <w:vanish/>
        </w:rPr>
        <w:t>InputsLevel3Memberus-gaap:MeasurementInputExpectedTermMemberus-gaap:DerivativeMember2019-12-310001158172us-gaap:MeasurementInputRiskFreeInterestRateMemberscor:MakeWholeChangeOfControlMemberscor:OptionPricingModelValuationTechniqueMemberus-gaap:FairValueInp</w:t>
      </w:r>
      <w:r>
        <w:rPr>
          <w:rFonts w:eastAsia="Times New Roman"/>
          <w:vanish/>
        </w:rPr>
        <w:t>utsLevel3Memberus-gaap:DerivativeMember2020-09-300001158172us-gaap:MeasurementInputRiskFreeInterestRateMemberscor:MakeWholeChangeOfControlMemberscor:OptionPricingModelValuationTechniqueMemberus-gaap:FairValueInputsLevel3Memberus-gaap:DerivativeMember2019-1</w:t>
      </w:r>
      <w:r>
        <w:rPr>
          <w:rFonts w:eastAsia="Times New Roman"/>
          <w:vanish/>
        </w:rPr>
        <w:t>2-310001158172us-gaap:ValuationTechniqueDiscountedCashFlowMemberus-gaap:FairValueInputsLevel3Memberscor:QualifyingChangeOfControlMemberus-gaap:DerivativeMemberscor:MeasurementInputChangeOfControlProbabilityRateMember2020-09-300001158172us-gaap:ValuationTec</w:t>
      </w:r>
      <w:r>
        <w:rPr>
          <w:rFonts w:eastAsia="Times New Roman"/>
          <w:vanish/>
        </w:rPr>
        <w:t>hniqueDiscountedCashFlowMemberus-gaap:FairValueInputsLevel3Memberscor:QualifyingChangeOfControlMemberus-gaap:DerivativeMemberscor:MeasurementInputChangeOfControlProbabilityRateMember2019-12-310001158172us-gaap:ValuationTechniqueDiscountedCashFlowMemberus-g</w:t>
      </w:r>
      <w:r>
        <w:rPr>
          <w:rFonts w:eastAsia="Times New Roman"/>
          <w:vanish/>
        </w:rPr>
        <w:t>aap:FairValueInputsLevel3Memberscor:QualifyingChangeOfControlMemberus-gaap:MeasurementInputExpectedTermMemberus-gaap:DerivativeMember2020-09-300001158172us-gaap:ValuationTechniqueDiscountedCashFlowMemberus-gaap:FairValueInputsLevel3Memberscor:QualifyingCha</w:t>
      </w:r>
      <w:r>
        <w:rPr>
          <w:rFonts w:eastAsia="Times New Roman"/>
          <w:vanish/>
        </w:rPr>
        <w:t>ngeOfControlMemberus-gaap:MeasurementInputExpectedTermMemberus-gaap:DerivativeMember2019-12-310001158172us-gaap:ValuationTechniqueDiscountedCashFlowMemberus-gaap:MeasurementInputDiscountRateMemberus-gaap:FairValueInputsLevel3Memberscor:QualifyingChangeOfCo</w:t>
      </w:r>
      <w:r>
        <w:rPr>
          <w:rFonts w:eastAsia="Times New Roman"/>
          <w:vanish/>
        </w:rPr>
        <w:t>ntrolMemberus-gaap:DerivativeMember2020-09-300001158172us-gaap:ValuationTechniqueDiscountedCashFlowMemberus-gaap:MeasurementInputDiscountRateMemberus-gaap:FairValueInputsLevel3Memberscor:QualifyingChangeOfControlMemberus-gaap:DerivativeMember2019-12-310001</w:t>
      </w:r>
      <w:r>
        <w:rPr>
          <w:rFonts w:eastAsia="Times New Roman"/>
          <w:vanish/>
        </w:rPr>
        <w:t>158172scor:OptionPricingModelValuationTechniqueMemberus-gaap:FairValueInputsLevel3Memberus-gaap:MeasurementInputSharePriceMemberus-gaap:WarrantMember2020-09-300001158172scor:OptionPricingModelValuationTechniqueMemberus-gaap:FairValueInputsLevel3Memberus-ga</w:t>
      </w:r>
      <w:r>
        <w:rPr>
          <w:rFonts w:eastAsia="Times New Roman"/>
          <w:vanish/>
        </w:rPr>
        <w:t>ap:MeasurementInputSharePriceMemberus-gaap:WarrantMember2019-12-310001158172scor:OptionPricingModelValuationTechniqueMemberus-gaap:FairValueInputsLevel3Memberus-gaap:MeasurementInputPriceVolatilityMemberus-gaap:WarrantMember2020-09-300001158172scor:OptionP</w:t>
      </w:r>
      <w:r>
        <w:rPr>
          <w:rFonts w:eastAsia="Times New Roman"/>
          <w:vanish/>
        </w:rPr>
        <w:t>ricingModelValuationTechniqueMemberus-gaap:FairValueInputsLevel3Memberus-gaap:MeasurementInputPriceVolatilityMemberus-gaap:WarrantMember2019-12-310001158172scor:OptionPricingModelValuationTechniqueMemberus-gaap:FairValueInputsLevel3Memberus-gaap:Measuremen</w:t>
      </w:r>
      <w:r>
        <w:rPr>
          <w:rFonts w:eastAsia="Times New Roman"/>
          <w:vanish/>
        </w:rPr>
        <w:t>tInputExpectedTermMemberus-gaap:WarrantMember2020-09-300001158172scor:OptionPricingModelValuationTechniqueMemberus-gaap:FairValueInputsLevel3Membersrt:MinimumMemberus-gaap:MeasurementInputExpectedTermMemberus-gaap:WarrantMember2019-12-310001158172srt:Maxim</w:t>
      </w:r>
      <w:r>
        <w:rPr>
          <w:rFonts w:eastAsia="Times New Roman"/>
          <w:vanish/>
        </w:rPr>
        <w:t>umMemberscor:OptionPricingModelValuationTechniqueMemberus-gaap:FairValueInputsLevel3Memberus-gaap:MeasurementInputExpectedTermMemberus-gaap:WarrantMember2019-12-310001158172scor:OptionPricingModelValuationTechniqueMemberus-gaap:FairValueInputsLevel3Members</w:t>
      </w:r>
      <w:r>
        <w:rPr>
          <w:rFonts w:eastAsia="Times New Roman"/>
          <w:vanish/>
        </w:rPr>
        <w:t>rt:MinimumMemberus-gaap:WarrantMemberscor:MeasurementInputChangeOfControlProbabilityRateMember2020-09-300001158172srt:MaximumMemberscor:OptionPricingModelValuationTechniqueMemberus-gaap:FairValueInputsLevel3Memberus-gaap:WarrantMemberscor:MeasurementInputC</w:t>
      </w:r>
      <w:r>
        <w:rPr>
          <w:rFonts w:eastAsia="Times New Roman"/>
          <w:vanish/>
        </w:rPr>
        <w:t>hangeOfControlProbabilityRateMember2020-09-300001158172scor:OptionPricingModelValuationTechniqueMemberus-gaap:FairValueInputsLevel3Membersrt:MinimumMemberus-gaap:WarrantMemberscor:MeasurementInputChangeOfControlProbabilityRateMember2019-12-310001158172srt:</w:t>
      </w:r>
      <w:r>
        <w:rPr>
          <w:rFonts w:eastAsia="Times New Roman"/>
          <w:vanish/>
        </w:rPr>
        <w:t>MaximumMemberscor:OptionPricingModelValuationTechniqueMemberus-gaap:FairValueInputsLevel3Memberus-gaap:WarrantMemberscor:MeasurementInputChangeOfControlProbabilityRateMember2019-12-310001158172us-gaap:MeasurementInputRiskFreeInterestRateMemberscor:OptionPr</w:t>
      </w:r>
      <w:r>
        <w:rPr>
          <w:rFonts w:eastAsia="Times New Roman"/>
          <w:vanish/>
        </w:rPr>
        <w:t>icingModelValuationTechniqueMemberus-gaap:FairValueInputsLevel3Memberus-gaap:WarrantMember2020-09-300001158172us-gaap:MeasurementInputRiskFreeInterestRateMemberscor:OptionPricingModelValuationTechniqueMemberus-gaap:FairValueInputsLevel3Membersrt:MinimumMem</w:t>
      </w:r>
      <w:r>
        <w:rPr>
          <w:rFonts w:eastAsia="Times New Roman"/>
          <w:vanish/>
        </w:rPr>
        <w:t>berus-gaap:WarrantMember2019-12-310001158172us-gaap:MeasurementInputRiskFreeInterestRateMembersrt:MaximumMemberscor:OptionPricingModelValuationTechniqueMemberus-gaap:FairValueInputsLevel3Memberus-gaap:WarrantMember2019-12-310001158172scor:OptionPricingMode</w:t>
      </w:r>
      <w:r>
        <w:rPr>
          <w:rFonts w:eastAsia="Times New Roman"/>
          <w:vanish/>
        </w:rPr>
        <w:t>lValuationTechniqueMemberus-gaap:FairValueInputsLevel3Membersrt:MinimumMemberscor:MeasurementInputCostOfDebtMemberus-gaap:WarrantMember2020-09-300001158172srt:MaximumMemberscor:OptionPricingModelValuationTechniqueMemberus-gaap:FairValueInputsLevel3Membersc</w:t>
      </w:r>
      <w:r>
        <w:rPr>
          <w:rFonts w:eastAsia="Times New Roman"/>
          <w:vanish/>
        </w:rPr>
        <w:t>or:MeasurementInputCostOfDebtMemberus-gaap:WarrantMember2020-09-300001158172scor:OptionPricingModelValuationTechniqueMemberus-gaap:FairValueInputsLevel3Membersrt:MinimumMemberscor:MeasurementInputCostOfDebtMemberus-gaap:WarrantMember2019-12-310001158172srt</w:t>
      </w:r>
      <w:r>
        <w:rPr>
          <w:rFonts w:eastAsia="Times New Roman"/>
          <w:vanish/>
        </w:rPr>
        <w:t>:MaximumMemberscor:OptionPricingModelValuationTechniqueMemberus-gaap:FairValueInputsLevel3Memberscor:MeasurementInputCostOfDebtMemberus-gaap:WarrantMember2019-12-310001158172us-gaap:InvestorMemberscor:WPPplcMember2020-09-300001158172us-gaap:InvestorMembers</w:t>
      </w:r>
      <w:r>
        <w:rPr>
          <w:rFonts w:eastAsia="Times New Roman"/>
          <w:vanish/>
        </w:rPr>
        <w:t>cor:WPPplcMember2020-01-012020-09-300001158172scor:LightspeedMembersrt:AffiliatedEntityMember2020-01-012020-09-300001158172scor:LightspeedMembersrt:AffiliatedEntityMember2020-09-300001158172us-gaap:InvestorMemberscor:WPPplcMember2020-07-012020-09-300001158</w:t>
      </w:r>
      <w:r>
        <w:rPr>
          <w:rFonts w:eastAsia="Times New Roman"/>
          <w:vanish/>
        </w:rPr>
        <w:t>172us-gaap:InvestorMemberscor:WPPplcMember2019-07-012019-09-300001158172us-gaap:InvestorMemberscor:WPPplcMember2019-01-012019-09-300001158172us-gaap:InvestorMemberus-gaap:CostOfSalesMemberscor:WPPplcMember2020-07-012020-09-300001158172us-gaap:InvestorMembe</w:t>
      </w:r>
      <w:r>
        <w:rPr>
          <w:rFonts w:eastAsia="Times New Roman"/>
          <w:vanish/>
        </w:rPr>
        <w:t>rus-gaap:CostOfSalesMemberscor:WPPplcMember2019-07-012019-09-300001158172us-gaap:InvestorMemberus-gaap:CostOfSalesMemberscor:WPPplcMember2020-01-012020-09-300001158172us-gaap:InvestorMemberus-gaap:CostOfSalesMemberscor:WPPplcMember2019-01-012019-09-3000011</w:t>
      </w:r>
      <w:r>
        <w:rPr>
          <w:rFonts w:eastAsia="Times New Roman"/>
          <w:vanish/>
        </w:rPr>
        <w:t>58172us-gaap:GeneralAndAdministrativeExpenseMemberus-gaap:InvestorMemberscor:WPPplcMember2020-07-012020-09-300001158172us-gaap:GeneralAndAdministrativeExpenseMemberus-gaap:InvestorMemberscor:WPPplcMember2019-07-012019-09-300001158172us-gaap:GeneralAndAdmin</w:t>
      </w:r>
      <w:r>
        <w:rPr>
          <w:rFonts w:eastAsia="Times New Roman"/>
          <w:vanish/>
        </w:rPr>
        <w:t>istrativeExpenseMemberus-gaap:InvestorMemberscor:WPPplcMember2020-01-012020-09-300001158172us-gaap:GeneralAndAdministrativeExpenseMemberus-gaap:InvestorMemberscor:WPPplcMember2019-01-012019-09-300001158172us-gaap:InvestorMemberscor:WPPplcMember2019-12-3100</w:t>
      </w:r>
      <w:r>
        <w:rPr>
          <w:rFonts w:eastAsia="Times New Roman"/>
          <w:vanish/>
        </w:rPr>
        <w:t>01158172us-gaap:BeneficialOwnerMemberscor:StarboardValueLPMember2018-01-162018-01-160001158172scor:StarboardValueLPMemberus-gaap:InvestorMember2020-07-012020-09-300001158172scor:StarboardValueLPMemberus-gaap:InvestorMember2020-01-012020-09-300001158172scor</w:t>
      </w:r>
      <w:r>
        <w:rPr>
          <w:rFonts w:eastAsia="Times New Roman"/>
          <w:vanish/>
        </w:rPr>
        <w:t>:StarboardValueLPMemberus-gaap:InvestorMember2019-07-012019-09-300001158172scor:StarboardValueLPMemberus-gaap:InvestorMember2019-01-012019-09-300001158172scor:StarboardValueLPMemberus-gaap:InvestorMember2020-09-300001158172scor:StarboardValueLPMemberus-gaa</w:t>
      </w:r>
      <w:r>
        <w:rPr>
          <w:rFonts w:eastAsia="Times New Roman"/>
          <w:vanish/>
        </w:rPr>
        <w:t>p:InvestorMember2019-12-310001158172us-gaap:SettledLitigationMemberscor:PrivacyClassActionLitigationMember2020-02-262020-02-26scor:restructuring_plans00011581722019-05-012019-08-310001158172scor:May2019RestructuringPlanMember2019-12-310001158172scor:August</w:t>
      </w:r>
      <w:r>
        <w:rPr>
          <w:rFonts w:eastAsia="Times New Roman"/>
          <w:vanish/>
        </w:rPr>
        <w:t>2019RestructuringPlanMember2019-12-310001158172scor:May2019RestructuringPlanMember2020-01-012020-09-300001158172scor:August2019RestructuringPlanMember2020-01-012020-09-300001158172scor:May2019RestructuringPlanMember2020-09-300001158172scor:August2019Restru</w:t>
      </w:r>
      <w:r>
        <w:rPr>
          <w:rFonts w:eastAsia="Times New Roman"/>
          <w:vanish/>
        </w:rPr>
        <w:t>cturingPlanMember2020-09-30</w:t>
      </w:r>
    </w:p>
    <w:p w:rsidR="00000000" w:rsidRDefault="000242E9">
      <w:pPr>
        <w:jc w:val="both"/>
        <w:divId w:val="34605707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34605707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479345025"/>
          <w:jc w:val="center"/>
        </w:trPr>
        <w:tc>
          <w:tcPr>
            <w:tcW w:w="50" w:type="pct"/>
            <w:vAlign w:val="center"/>
            <w:hideMark/>
          </w:tcPr>
          <w:p w:rsidR="00000000" w:rsidRDefault="000242E9">
            <w:pPr>
              <w:jc w:val="both"/>
              <w:rPr>
                <w:rFonts w:eastAsia="Times New Roman"/>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479345025"/>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bl>
    <w:p w:rsidR="00000000" w:rsidRDefault="000242E9">
      <w:pPr>
        <w:jc w:val="center"/>
        <w:divId w:val="651913020"/>
        <w:rPr>
          <w:rFonts w:eastAsia="Times New Roman"/>
        </w:rPr>
      </w:pPr>
      <w:r>
        <w:rPr>
          <w:rFonts w:eastAsia="Times New Roman"/>
          <w:b/>
          <w:bCs/>
          <w:color w:val="000000"/>
          <w:sz w:val="32"/>
          <w:szCs w:val="32"/>
        </w:rPr>
        <w:t>UNITED STATES SECURITIES AND EXCHANGE COMMISSION</w:t>
      </w:r>
    </w:p>
    <w:p w:rsidR="00000000" w:rsidRDefault="000242E9">
      <w:pPr>
        <w:jc w:val="center"/>
        <w:rPr>
          <w:rFonts w:eastAsia="Times New Roman"/>
        </w:rPr>
      </w:pPr>
      <w:r>
        <w:rPr>
          <w:rFonts w:eastAsia="Times New Roman"/>
          <w:b/>
          <w:bCs/>
          <w:color w:val="000000"/>
        </w:rPr>
        <w:t>Washington, D.C. 20549</w:t>
      </w:r>
    </w:p>
    <w:p w:rsidR="00000000" w:rsidRDefault="000242E9">
      <w:pPr>
        <w:jc w:val="center"/>
        <w:divId w:val="87389817"/>
        <w:rPr>
          <w:rFonts w:eastAsia="Times New Roman"/>
        </w:rPr>
      </w:pPr>
      <w:r>
        <w:rPr>
          <w:rFonts w:eastAsia="Times New Roman"/>
          <w:color w:val="000000"/>
          <w:sz w:val="20"/>
          <w:szCs w:val="20"/>
        </w:rPr>
        <w:t>_____________________________________________</w:t>
      </w:r>
    </w:p>
    <w:p w:rsidR="00000000" w:rsidRDefault="000242E9">
      <w:pPr>
        <w:jc w:val="center"/>
        <w:divId w:val="989870205"/>
        <w:rPr>
          <w:rFonts w:eastAsia="Times New Roman"/>
        </w:rPr>
      </w:pPr>
      <w:r>
        <w:rPr>
          <w:rFonts w:eastAsia="Times New Roman"/>
          <w:b/>
          <w:bCs/>
          <w:color w:val="000000"/>
          <w:sz w:val="32"/>
          <w:szCs w:val="32"/>
        </w:rPr>
        <w:t xml:space="preserve">FORM 10-Q </w:t>
      </w:r>
    </w:p>
    <w:p w:rsidR="00000000" w:rsidRDefault="000242E9">
      <w:pPr>
        <w:jc w:val="center"/>
        <w:rPr>
          <w:rFonts w:eastAsia="Times New Roman"/>
        </w:rPr>
      </w:pPr>
      <w:r>
        <w:rPr>
          <w:rFonts w:eastAsia="Times New Roman"/>
          <w:color w:val="000000"/>
          <w:sz w:val="20"/>
          <w:szCs w:val="20"/>
        </w:rPr>
        <w:t>_____________________________________________</w:t>
      </w:r>
    </w:p>
    <w:p w:rsidR="00000000" w:rsidRDefault="000242E9">
      <w:pPr>
        <w:divId w:val="1019039814"/>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286"/>
        <w:gridCol w:w="36"/>
        <w:gridCol w:w="37"/>
        <w:gridCol w:w="7874"/>
        <w:gridCol w:w="36"/>
      </w:tblGrid>
      <w:tr w:rsidR="00000000">
        <w:trPr>
          <w:divId w:val="1547183144"/>
        </w:trPr>
        <w:tc>
          <w:tcPr>
            <w:tcW w:w="5" w:type="pct"/>
            <w:vAlign w:val="center"/>
            <w:hideMark/>
          </w:tcPr>
          <w:p w:rsidR="00000000" w:rsidRDefault="000242E9">
            <w:pPr>
              <w:rPr>
                <w:rFonts w:eastAsia="Times New Roman"/>
              </w:rPr>
            </w:pPr>
          </w:p>
        </w:tc>
        <w:tc>
          <w:tcPr>
            <w:tcW w:w="10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83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47183144"/>
        </w:trPr>
        <w:tc>
          <w:tcPr>
            <w:tcW w:w="0" w:type="auto"/>
            <w:gridSpan w:val="3"/>
            <w:tcMar>
              <w:top w:w="30" w:type="dxa"/>
              <w:left w:w="20" w:type="dxa"/>
              <w:bottom w:w="30" w:type="dxa"/>
              <w:right w:w="20" w:type="dxa"/>
            </w:tcMar>
            <w:hideMark/>
          </w:tcPr>
          <w:p w:rsidR="00000000" w:rsidRDefault="000242E9">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0242E9">
      <w:pPr>
        <w:jc w:val="center"/>
        <w:divId w:val="556359139"/>
        <w:rPr>
          <w:rFonts w:eastAsia="Times New Roman"/>
        </w:rPr>
      </w:pPr>
      <w:r>
        <w:rPr>
          <w:rFonts w:eastAsia="Times New Roman"/>
          <w:b/>
          <w:bCs/>
          <w:color w:val="000000"/>
          <w:sz w:val="20"/>
          <w:szCs w:val="20"/>
        </w:rPr>
        <w:t xml:space="preserve">For the quarterly period ended September 30, 2020 </w:t>
      </w:r>
    </w:p>
    <w:p w:rsidR="00000000" w:rsidRDefault="000242E9">
      <w:pPr>
        <w:jc w:val="center"/>
        <w:divId w:val="1782989901"/>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94"/>
        <w:gridCol w:w="36"/>
        <w:gridCol w:w="37"/>
        <w:gridCol w:w="7966"/>
        <w:gridCol w:w="36"/>
      </w:tblGrid>
      <w:tr w:rsidR="00000000">
        <w:trPr>
          <w:divId w:val="19480669"/>
          <w:jc w:val="center"/>
        </w:trPr>
        <w:tc>
          <w:tcPr>
            <w:tcW w:w="5" w:type="pct"/>
            <w:vAlign w:val="center"/>
            <w:hideMark/>
          </w:tcPr>
          <w:p w:rsidR="00000000" w:rsidRDefault="000242E9">
            <w:pPr>
              <w:jc w:val="center"/>
              <w:rPr>
                <w:rFonts w:eastAsia="Times New Roman"/>
              </w:rPr>
            </w:pPr>
          </w:p>
        </w:tc>
        <w:tc>
          <w:tcPr>
            <w:tcW w:w="10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83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480669"/>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0242E9">
      <w:pPr>
        <w:jc w:val="center"/>
        <w:divId w:val="1369525574"/>
        <w:rPr>
          <w:rFonts w:eastAsia="Times New Roman"/>
        </w:rPr>
      </w:pPr>
      <w:r>
        <w:rPr>
          <w:rFonts w:eastAsia="Times New Roman"/>
          <w:b/>
          <w:bCs/>
          <w:color w:val="000000"/>
          <w:sz w:val="20"/>
          <w:szCs w:val="20"/>
        </w:rPr>
        <w:t>For the transition period from          to</w:t>
      </w:r>
    </w:p>
    <w:p w:rsidR="00000000" w:rsidRDefault="000242E9">
      <w:pPr>
        <w:jc w:val="center"/>
        <w:divId w:val="534002024"/>
        <w:rPr>
          <w:rFonts w:eastAsia="Times New Roman"/>
        </w:rPr>
      </w:pPr>
      <w:r>
        <w:rPr>
          <w:rFonts w:eastAsia="Times New Roman"/>
          <w:b/>
          <w:bCs/>
          <w:color w:val="000000"/>
          <w:sz w:val="20"/>
          <w:szCs w:val="20"/>
        </w:rPr>
        <w:t xml:space="preserve">Commission file number: 001-33520 </w:t>
      </w:r>
    </w:p>
    <w:p w:rsidR="00000000" w:rsidRDefault="000242E9">
      <w:pPr>
        <w:jc w:val="center"/>
        <w:divId w:val="1725789771"/>
        <w:rPr>
          <w:rFonts w:eastAsia="Times New Roman"/>
        </w:rPr>
      </w:pPr>
      <w:r>
        <w:rPr>
          <w:rFonts w:eastAsia="Times New Roman"/>
          <w:color w:val="000000"/>
          <w:sz w:val="20"/>
          <w:szCs w:val="20"/>
        </w:rPr>
        <w:t>_____________________________________________</w:t>
      </w:r>
    </w:p>
    <w:p w:rsidR="00000000" w:rsidRDefault="000242E9">
      <w:pPr>
        <w:jc w:val="center"/>
        <w:rPr>
          <w:rFonts w:eastAsia="Times New Roman"/>
        </w:rPr>
      </w:pPr>
      <w:r>
        <w:rPr>
          <w:rFonts w:eastAsia="Times New Roman"/>
          <w:b/>
          <w:bCs/>
          <w:color w:val="000000"/>
          <w:sz w:val="48"/>
          <w:szCs w:val="48"/>
        </w:rPr>
        <w:t>comScore, Inc.</w:t>
      </w:r>
    </w:p>
    <w:p w:rsidR="00000000" w:rsidRDefault="000242E9">
      <w:pPr>
        <w:jc w:val="center"/>
        <w:rPr>
          <w:rFonts w:eastAsia="Times New Roman"/>
        </w:rPr>
      </w:pPr>
      <w:r>
        <w:rPr>
          <w:rFonts w:eastAsia="Times New Roman"/>
          <w:b/>
          <w:bCs/>
          <w:color w:val="000000"/>
          <w:sz w:val="20"/>
          <w:szCs w:val="20"/>
        </w:rPr>
        <w:t>(Exact name of registrant as specified in its charter)</w:t>
      </w:r>
    </w:p>
    <w:p w:rsidR="00000000" w:rsidRDefault="000242E9">
      <w:pPr>
        <w:jc w:val="center"/>
        <w:rPr>
          <w:rFonts w:eastAsia="Times New Roman"/>
        </w:rPr>
      </w:pPr>
      <w:r>
        <w:rPr>
          <w:rFonts w:eastAsia="Times New Roman"/>
          <w:color w:val="000000"/>
          <w:sz w:val="20"/>
          <w:szCs w:val="20"/>
        </w:rPr>
        <w:t>_____________________________________________</w:t>
      </w:r>
    </w:p>
    <w:tbl>
      <w:tblPr>
        <w:tblW w:w="5000" w:type="pct"/>
        <w:tblCellMar>
          <w:top w:w="15" w:type="dxa"/>
          <w:left w:w="15" w:type="dxa"/>
          <w:bottom w:w="15" w:type="dxa"/>
          <w:right w:w="15" w:type="dxa"/>
        </w:tblCellMar>
        <w:tblLook w:val="04A0" w:firstRow="1" w:lastRow="0" w:firstColumn="1" w:lastColumn="0" w:noHBand="0" w:noVBand="1"/>
      </w:tblPr>
      <w:tblGrid>
        <w:gridCol w:w="53"/>
        <w:gridCol w:w="3998"/>
        <w:gridCol w:w="36"/>
        <w:gridCol w:w="36"/>
        <w:gridCol w:w="36"/>
        <w:gridCol w:w="36"/>
        <w:gridCol w:w="54"/>
        <w:gridCol w:w="4021"/>
        <w:gridCol w:w="36"/>
      </w:tblGrid>
      <w:tr w:rsidR="00000000">
        <w:trPr>
          <w:divId w:val="1216742661"/>
        </w:trPr>
        <w:tc>
          <w:tcPr>
            <w:tcW w:w="50" w:type="pct"/>
            <w:vAlign w:val="center"/>
            <w:hideMark/>
          </w:tcPr>
          <w:p w:rsidR="00000000" w:rsidRDefault="000242E9">
            <w:pPr>
              <w:jc w:val="center"/>
              <w:rPr>
                <w:rFonts w:eastAsia="Times New Roman"/>
              </w:rPr>
            </w:pPr>
          </w:p>
        </w:tc>
        <w:tc>
          <w:tcPr>
            <w:tcW w:w="24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216742661"/>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54-1955550</w:t>
            </w:r>
          </w:p>
        </w:tc>
      </w:tr>
      <w:tr w:rsidR="00000000">
        <w:trPr>
          <w:divId w:val="1216742661"/>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(I.R.S. Employer Identification Number)</w:t>
            </w:r>
          </w:p>
        </w:tc>
      </w:tr>
    </w:tbl>
    <w:p w:rsidR="00000000" w:rsidRDefault="000242E9">
      <w:pPr>
        <w:jc w:val="center"/>
        <w:rPr>
          <w:rFonts w:eastAsia="Times New Roman"/>
        </w:rPr>
      </w:pPr>
    </w:p>
    <w:p w:rsidR="00000000" w:rsidRDefault="000242E9">
      <w:pPr>
        <w:jc w:val="center"/>
        <w:divId w:val="303660870"/>
        <w:rPr>
          <w:rFonts w:eastAsia="Times New Roman"/>
        </w:rPr>
      </w:pPr>
      <w:r>
        <w:rPr>
          <w:rFonts w:eastAsia="Times New Roman"/>
          <w:b/>
          <w:bCs/>
          <w:color w:val="000000"/>
          <w:sz w:val="20"/>
          <w:szCs w:val="20"/>
        </w:rPr>
        <w:t xml:space="preserve">11950 Democracy Drive, Suite 600 </w:t>
      </w:r>
    </w:p>
    <w:p w:rsidR="00000000" w:rsidRDefault="000242E9">
      <w:pPr>
        <w:jc w:val="center"/>
        <w:rPr>
          <w:rFonts w:eastAsia="Times New Roman"/>
        </w:rPr>
      </w:pPr>
      <w:r>
        <w:rPr>
          <w:rFonts w:eastAsia="Times New Roman"/>
          <w:b/>
          <w:bCs/>
          <w:color w:val="000000"/>
          <w:sz w:val="20"/>
          <w:szCs w:val="20"/>
        </w:rPr>
        <w:t xml:space="preserve">Reston, Virginia 20190 </w:t>
      </w:r>
    </w:p>
    <w:p w:rsidR="00000000" w:rsidRDefault="000242E9">
      <w:pPr>
        <w:jc w:val="center"/>
        <w:rPr>
          <w:rFonts w:eastAsia="Times New Roman"/>
        </w:rPr>
      </w:pPr>
      <w:r>
        <w:rPr>
          <w:rFonts w:eastAsia="Times New Roman"/>
          <w:b/>
          <w:bCs/>
          <w:i/>
          <w:iCs/>
          <w:color w:val="000000"/>
          <w:sz w:val="16"/>
          <w:szCs w:val="16"/>
        </w:rPr>
        <w:t>(Address of Principal Executive Offices)</w:t>
      </w:r>
    </w:p>
    <w:p w:rsidR="00000000" w:rsidRDefault="000242E9">
      <w:pPr>
        <w:jc w:val="center"/>
        <w:divId w:val="1019045976"/>
        <w:rPr>
          <w:rFonts w:eastAsia="Times New Roman"/>
        </w:rPr>
      </w:pPr>
      <w:r>
        <w:rPr>
          <w:rFonts w:eastAsia="Times New Roman"/>
          <w:b/>
          <w:bCs/>
          <w:color w:val="000000"/>
          <w:sz w:val="20"/>
          <w:szCs w:val="20"/>
        </w:rPr>
        <w:t xml:space="preserve">(703) 438-2000 </w:t>
      </w:r>
    </w:p>
    <w:p w:rsidR="00000000" w:rsidRDefault="000242E9">
      <w:pPr>
        <w:jc w:val="center"/>
        <w:rPr>
          <w:rFonts w:eastAsia="Times New Roman"/>
        </w:rPr>
      </w:pPr>
      <w:r>
        <w:rPr>
          <w:rFonts w:eastAsia="Times New Roman"/>
          <w:b/>
          <w:bCs/>
          <w:i/>
          <w:iCs/>
          <w:color w:val="000000"/>
          <w:sz w:val="16"/>
          <w:szCs w:val="16"/>
        </w:rPr>
        <w:t>(Registrant's Telephone Number, Including Area Code)</w:t>
      </w:r>
    </w:p>
    <w:p w:rsidR="00000000" w:rsidRDefault="000242E9">
      <w:pPr>
        <w:jc w:val="center"/>
        <w:rPr>
          <w:rFonts w:eastAsia="Times New Roman"/>
        </w:rPr>
      </w:pPr>
      <w:r>
        <w:rPr>
          <w:rFonts w:eastAsia="Times New Roman"/>
          <w:color w:val="000000"/>
          <w:sz w:val="20"/>
          <w:szCs w:val="20"/>
        </w:rPr>
        <w:t>_____________________________________________</w:t>
      </w:r>
    </w:p>
    <w:p w:rsidR="00000000" w:rsidRDefault="000242E9">
      <w:pPr>
        <w:jc w:val="both"/>
        <w:divId w:val="798260782"/>
        <w:rPr>
          <w:rFonts w:eastAsia="Times New Roman"/>
        </w:rPr>
      </w:pPr>
      <w:r>
        <w:rPr>
          <w:rFonts w:eastAsia="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139"/>
        <w:gridCol w:w="37"/>
        <w:gridCol w:w="36"/>
        <w:gridCol w:w="36"/>
        <w:gridCol w:w="36"/>
        <w:gridCol w:w="48"/>
        <w:gridCol w:w="1570"/>
        <w:gridCol w:w="36"/>
        <w:gridCol w:w="36"/>
        <w:gridCol w:w="36"/>
        <w:gridCol w:w="36"/>
        <w:gridCol w:w="48"/>
        <w:gridCol w:w="3128"/>
        <w:gridCol w:w="37"/>
      </w:tblGrid>
      <w:tr w:rsidR="00000000">
        <w:trPr>
          <w:divId w:val="952787323"/>
          <w:jc w:val="center"/>
        </w:trPr>
        <w:tc>
          <w:tcPr>
            <w:tcW w:w="50" w:type="pct"/>
            <w:vAlign w:val="center"/>
            <w:hideMark/>
          </w:tcPr>
          <w:p w:rsidR="00000000" w:rsidRDefault="000242E9">
            <w:pPr>
              <w:jc w:val="both"/>
              <w:rPr>
                <w:rFonts w:eastAsia="Times New Roman"/>
              </w:rPr>
            </w:pPr>
          </w:p>
        </w:tc>
        <w:tc>
          <w:tcPr>
            <w:tcW w:w="191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90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952787323"/>
          <w:jc w:val="center"/>
        </w:trPr>
        <w:tc>
          <w:tcPr>
            <w:tcW w:w="0" w:type="auto"/>
            <w:gridSpan w:val="3"/>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6"/>
                <w:szCs w:val="16"/>
              </w:rPr>
              <w:t>Name of Each Exchange on Which Registered</w:t>
            </w:r>
          </w:p>
        </w:tc>
      </w:tr>
      <w:tr w:rsidR="00000000">
        <w:trPr>
          <w:divId w:val="952787323"/>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0242E9">
            <w:pPr>
              <w:jc w:val="center"/>
              <w:rPr>
                <w:rFonts w:eastAsia="Times New Roman"/>
              </w:rPr>
            </w:pPr>
            <w:r>
              <w:rPr>
                <w:rFonts w:eastAsia="Times New Roman"/>
                <w:color w:val="000000"/>
                <w:sz w:val="18"/>
                <w:szCs w:val="18"/>
              </w:rPr>
              <w:t>NASDAQ Global Select Market</w:t>
            </w:r>
          </w:p>
        </w:tc>
      </w:tr>
    </w:tbl>
    <w:p w:rsidR="00000000" w:rsidRDefault="000242E9">
      <w:pPr>
        <w:jc w:val="both"/>
        <w:divId w:val="1420517340"/>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rsidR="00000000" w:rsidRDefault="000242E9">
      <w:pPr>
        <w:jc w:val="both"/>
        <w:divId w:val="540434931"/>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0242E9">
      <w:pPr>
        <w:jc w:val="both"/>
        <w:divId w:val="1493452742"/>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1880"/>
        <w:gridCol w:w="36"/>
        <w:gridCol w:w="59"/>
        <w:gridCol w:w="196"/>
        <w:gridCol w:w="36"/>
        <w:gridCol w:w="60"/>
        <w:gridCol w:w="3070"/>
        <w:gridCol w:w="36"/>
        <w:gridCol w:w="36"/>
        <w:gridCol w:w="156"/>
        <w:gridCol w:w="36"/>
        <w:gridCol w:w="84"/>
        <w:gridCol w:w="1918"/>
        <w:gridCol w:w="36"/>
        <w:gridCol w:w="60"/>
        <w:gridCol w:w="196"/>
        <w:gridCol w:w="36"/>
        <w:gridCol w:w="78"/>
        <w:gridCol w:w="203"/>
        <w:gridCol w:w="36"/>
      </w:tblGrid>
      <w:tr w:rsidR="00000000">
        <w:trPr>
          <w:divId w:val="1974017879"/>
        </w:trPr>
        <w:tc>
          <w:tcPr>
            <w:tcW w:w="50" w:type="pct"/>
            <w:vAlign w:val="center"/>
            <w:hideMark/>
          </w:tcPr>
          <w:p w:rsidR="00000000" w:rsidRDefault="000242E9">
            <w:pPr>
              <w:jc w:val="both"/>
              <w:rPr>
                <w:rFonts w:eastAsia="Times New Roman"/>
              </w:rPr>
            </w:pPr>
          </w:p>
        </w:tc>
        <w:tc>
          <w:tcPr>
            <w:tcW w:w="114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3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8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0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14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3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3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74017879"/>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ascii="Segoe UI Emoji" w:eastAsia="Times New Roman" w:hAnsi="Segoe UI Emoji" w:cs="Segoe UI Emoji"/>
                <w:color w:val="000000"/>
                <w:sz w:val="18"/>
                <w:szCs w:val="18"/>
              </w:rPr>
              <w:t>☑</w:t>
            </w:r>
          </w:p>
        </w:tc>
      </w:tr>
      <w:tr w:rsidR="00000000">
        <w:trPr>
          <w:divId w:val="1974017879"/>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0242E9">
            <w:pPr>
              <w:divId w:val="610861302"/>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ascii="Segoe UI Symbol" w:eastAsia="Times New Roman" w:hAnsi="Segoe UI Symbol" w:cs="Segoe UI Symbol"/>
                <w:color w:val="000000"/>
                <w:sz w:val="18"/>
                <w:szCs w:val="18"/>
              </w:rPr>
              <w:t>☐</w:t>
            </w:r>
          </w:p>
        </w:tc>
      </w:tr>
      <w:tr w:rsidR="00000000">
        <w:trPr>
          <w:divId w:val="1974017879"/>
        </w:trPr>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ascii="Segoe UI Symbol" w:eastAsia="Times New Roman" w:hAnsi="Segoe UI Symbol" w:cs="Segoe UI Symbol"/>
                <w:color w:val="000000"/>
                <w:sz w:val="18"/>
                <w:szCs w:val="18"/>
              </w:rPr>
              <w:t>☐</w:t>
            </w:r>
          </w:p>
        </w:tc>
      </w:tr>
    </w:tbl>
    <w:p w:rsidR="00000000" w:rsidRDefault="000242E9">
      <w:pPr>
        <w:jc w:val="both"/>
        <w:divId w:val="1277251904"/>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0242E9">
      <w:pPr>
        <w:jc w:val="both"/>
        <w:divId w:val="77786990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0242E9">
      <w:pPr>
        <w:jc w:val="both"/>
        <w:divId w:val="562329487"/>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November 5, 2020, there were 72,786,545 shares of the registrant's Common Stock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595790556"/>
          <w:jc w:val="center"/>
        </w:trPr>
        <w:tc>
          <w:tcPr>
            <w:tcW w:w="50" w:type="pct"/>
            <w:vAlign w:val="center"/>
            <w:hideMark/>
          </w:tcPr>
          <w:p w:rsidR="00000000" w:rsidRDefault="000242E9">
            <w:pPr>
              <w:jc w:val="both"/>
              <w:rPr>
                <w:rFonts w:eastAsia="Times New Roman"/>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94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595790556"/>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bl>
    <w:p w:rsidR="00000000" w:rsidRDefault="000242E9">
      <w:pPr>
        <w:jc w:val="both"/>
        <w:divId w:val="684936927"/>
        <w:rPr>
          <w:rFonts w:eastAsia="Times New Roman"/>
        </w:rPr>
      </w:pPr>
    </w:p>
    <w:p w:rsidR="00000000" w:rsidRDefault="000242E9">
      <w:pPr>
        <w:rPr>
          <w:rFonts w:eastAsia="Times New Roman"/>
        </w:rPr>
      </w:pPr>
      <w:r>
        <w:rPr>
          <w:rFonts w:eastAsia="Times New Roman"/>
        </w:rPr>
        <w:pict>
          <v:rect id="_x0000_i1025" style="width:0;height:1.5pt" o:hralign="center" o:hrstd="t" o:hr="t" fillcolor="#a0a0a0" stroked="f"/>
        </w:pict>
      </w:r>
    </w:p>
    <w:p w:rsidR="00000000" w:rsidRDefault="000242E9">
      <w:pPr>
        <w:jc w:val="both"/>
        <w:divId w:val="148867242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488672424"/>
        <w:rPr>
          <w:rFonts w:eastAsia="Times New Roman"/>
        </w:rPr>
      </w:pPr>
    </w:p>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divId w:val="490558461"/>
        <w:rPr>
          <w:rFonts w:eastAsia="Times New Roman"/>
        </w:rPr>
      </w:pPr>
      <w:r>
        <w:rPr>
          <w:rFonts w:eastAsia="Times New Roman"/>
          <w:b/>
          <w:bCs/>
          <w:color w:val="000000"/>
          <w:sz w:val="20"/>
          <w:szCs w:val="20"/>
        </w:rPr>
        <w:t>QUARTERLY REPORT ON FORM 10-Q</w:t>
      </w:r>
    </w:p>
    <w:p w:rsidR="00000000" w:rsidRDefault="000242E9">
      <w:pPr>
        <w:jc w:val="center"/>
        <w:rPr>
          <w:rFonts w:eastAsia="Times New Roman"/>
        </w:rPr>
      </w:pPr>
      <w:r>
        <w:rPr>
          <w:rFonts w:eastAsia="Times New Roman"/>
          <w:b/>
          <w:bCs/>
          <w:color w:val="000000"/>
          <w:sz w:val="20"/>
          <w:szCs w:val="20"/>
        </w:rPr>
        <w:t>FOR THE QUARTER ENDED SEPTEMBER 30, 2020</w:t>
      </w:r>
    </w:p>
    <w:p w:rsidR="00000000" w:rsidRDefault="000242E9">
      <w:pPr>
        <w:jc w:val="center"/>
        <w:divId w:val="581643853"/>
        <w:rPr>
          <w:rFonts w:eastAsia="Times New Roman"/>
        </w:rPr>
      </w:pPr>
      <w:r>
        <w:rPr>
          <w:rFonts w:eastAsia="Times New Roman"/>
          <w:b/>
          <w:bCs/>
          <w:color w:val="000000"/>
          <w:sz w:val="20"/>
          <w:szCs w:val="20"/>
        </w:rPr>
        <w:t>TABLE OF CONTENTS</w:t>
      </w:r>
    </w:p>
    <w:p w:rsidR="00000000" w:rsidRDefault="000242E9">
      <w:pPr>
        <w:jc w:val="both"/>
        <w:rPr>
          <w:rFonts w:eastAsia="Times New Roman"/>
        </w:rPr>
      </w:pPr>
      <w:r>
        <w:rPr>
          <w:rFonts w:eastAsia="Times New Roman"/>
          <w:color w:val="000000"/>
          <w:sz w:val="18"/>
          <w:szCs w:val="18"/>
        </w:rPr>
        <w:t> </w:t>
      </w:r>
    </w:p>
    <w:tbl>
      <w:tblPr>
        <w:tblW w:w="4527" w:type="pct"/>
        <w:jc w:val="center"/>
        <w:tblCellMar>
          <w:top w:w="15" w:type="dxa"/>
          <w:left w:w="15" w:type="dxa"/>
          <w:bottom w:w="15" w:type="dxa"/>
          <w:right w:w="15" w:type="dxa"/>
        </w:tblCellMar>
        <w:tblLook w:val="04A0" w:firstRow="1" w:lastRow="0" w:firstColumn="1" w:lastColumn="0" w:noHBand="0" w:noVBand="1"/>
      </w:tblPr>
      <w:tblGrid>
        <w:gridCol w:w="60"/>
        <w:gridCol w:w="6167"/>
        <w:gridCol w:w="37"/>
        <w:gridCol w:w="61"/>
        <w:gridCol w:w="1159"/>
        <w:gridCol w:w="36"/>
      </w:tblGrid>
      <w:tr w:rsidR="00000000">
        <w:trPr>
          <w:divId w:val="1380401040"/>
          <w:jc w:val="center"/>
        </w:trPr>
        <w:tc>
          <w:tcPr>
            <w:tcW w:w="50" w:type="pct"/>
            <w:vAlign w:val="center"/>
            <w:hideMark/>
          </w:tcPr>
          <w:p w:rsidR="00000000" w:rsidRDefault="000242E9">
            <w:pPr>
              <w:jc w:val="both"/>
              <w:rPr>
                <w:rFonts w:eastAsia="Times New Roman"/>
              </w:rPr>
            </w:pPr>
          </w:p>
        </w:tc>
        <w:tc>
          <w:tcPr>
            <w:tcW w:w="410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78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366324685"/>
              <w:rPr>
                <w:rFonts w:eastAsia="Times New Roman"/>
              </w:rPr>
            </w:pPr>
            <w:hyperlink w:anchor="if7a518a588154f7ab52f3429da641a28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0" w:history="1">
              <w:r>
                <w:rPr>
                  <w:rStyle w:val="a3"/>
                  <w:rFonts w:eastAsia="Times New Roman"/>
                  <w:sz w:val="20"/>
                  <w:szCs w:val="20"/>
                </w:rPr>
                <w:t>i</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683706283"/>
              <w:rPr>
                <w:rFonts w:eastAsia="Times New Roman"/>
              </w:rPr>
            </w:pPr>
            <w:hyperlink w:anchor="if7a518a588154f7ab52f3429da641a28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622420335"/>
              <w:rPr>
                <w:rFonts w:eastAsia="Times New Roman"/>
              </w:rPr>
            </w:pPr>
            <w:hyperlink w:anchor="if7a518a588154f7ab52f3429da641a28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6" w:history="1">
              <w:r>
                <w:rPr>
                  <w:rStyle w:val="a3"/>
                  <w:rFonts w:eastAsia="Times New Roman"/>
                  <w:sz w:val="20"/>
                  <w:szCs w:val="20"/>
                </w:rPr>
                <w:t>1</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2112846607"/>
              <w:rPr>
                <w:rFonts w:eastAsia="Times New Roman"/>
              </w:rPr>
            </w:pPr>
            <w:hyperlink w:anchor="if7a518a588154f7ab52f3429da641a28_88"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88" w:history="1">
              <w:r>
                <w:rPr>
                  <w:rStyle w:val="a3"/>
                  <w:rFonts w:eastAsia="Times New Roman"/>
                  <w:sz w:val="20"/>
                  <w:szCs w:val="20"/>
                </w:rPr>
                <w:t>22</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409230434"/>
              <w:rPr>
                <w:rFonts w:eastAsia="Times New Roman"/>
              </w:rPr>
            </w:pPr>
            <w:hyperlink w:anchor="if7a518a588154f7ab52f3429da641a28_115" w:history="1">
              <w:r>
                <w:rPr>
                  <w:rStyle w:val="a3"/>
                  <w:rFonts w:eastAsia="Times New Roman"/>
                  <w:sz w:val="20"/>
                  <w:szCs w:val="20"/>
                </w:rPr>
                <w:t>Item 3. Quantitative and Qualitative Disclosure about Market Risk</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15" w:history="1">
              <w:r>
                <w:rPr>
                  <w:rStyle w:val="a3"/>
                  <w:rFonts w:eastAsia="Times New Roman"/>
                  <w:sz w:val="20"/>
                  <w:szCs w:val="20"/>
                </w:rPr>
                <w:t>36</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938754599"/>
              <w:rPr>
                <w:rFonts w:eastAsia="Times New Roman"/>
              </w:rPr>
            </w:pPr>
            <w:hyperlink w:anchor="if7a518a588154f7ab52f3429da641a28_121"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21" w:history="1">
              <w:r>
                <w:rPr>
                  <w:rStyle w:val="a3"/>
                  <w:rFonts w:eastAsia="Times New Roman"/>
                  <w:sz w:val="20"/>
                  <w:szCs w:val="20"/>
                </w:rPr>
                <w:t>37</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990592272"/>
              <w:rPr>
                <w:rFonts w:eastAsia="Times New Roman"/>
              </w:rPr>
            </w:pPr>
            <w:hyperlink w:anchor="if7a518a588154f7ab52f3429da641a28_124"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946690654"/>
              <w:rPr>
                <w:rFonts w:eastAsia="Times New Roman"/>
              </w:rPr>
            </w:pPr>
            <w:hyperlink w:anchor="if7a518a588154f7ab52f3429da641a28_127"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27" w:history="1">
              <w:r>
                <w:rPr>
                  <w:rStyle w:val="a3"/>
                  <w:rFonts w:eastAsia="Times New Roman"/>
                  <w:sz w:val="20"/>
                  <w:szCs w:val="20"/>
                </w:rPr>
                <w:t>38</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930742367"/>
              <w:rPr>
                <w:rFonts w:eastAsia="Times New Roman"/>
              </w:rPr>
            </w:pPr>
            <w:hyperlink w:anchor="if7a518a588154f7ab52f3429da641a28_130"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30" w:history="1">
              <w:r>
                <w:rPr>
                  <w:rStyle w:val="a3"/>
                  <w:rFonts w:eastAsia="Times New Roman"/>
                  <w:sz w:val="20"/>
                  <w:szCs w:val="20"/>
                </w:rPr>
                <w:t>38</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828591375"/>
              <w:rPr>
                <w:rFonts w:eastAsia="Times New Roman"/>
              </w:rPr>
            </w:pPr>
            <w:hyperlink w:anchor="if7a518a588154f7ab52f3429da641a28_136"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36" w:history="1">
              <w:r>
                <w:rPr>
                  <w:rStyle w:val="a3"/>
                  <w:rFonts w:eastAsia="Times New Roman"/>
                  <w:sz w:val="20"/>
                  <w:szCs w:val="20"/>
                </w:rPr>
                <w:t>39</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618561335"/>
              <w:rPr>
                <w:rFonts w:eastAsia="Times New Roman"/>
              </w:rPr>
            </w:pPr>
            <w:hyperlink w:anchor="if7a518a588154f7ab52f3429da641a28_142"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42" w:history="1">
              <w:r>
                <w:rPr>
                  <w:rStyle w:val="a3"/>
                  <w:rFonts w:eastAsia="Times New Roman"/>
                  <w:sz w:val="20"/>
                  <w:szCs w:val="20"/>
                </w:rPr>
                <w:t>39</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1315986012"/>
              <w:rPr>
                <w:rFonts w:eastAsia="Times New Roman"/>
              </w:rPr>
            </w:pPr>
            <w:hyperlink w:anchor="if7a518a588154f7ab52f3429da641a28_145"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45" w:history="1">
              <w:r>
                <w:rPr>
                  <w:rStyle w:val="a3"/>
                  <w:rFonts w:eastAsia="Times New Roman"/>
                  <w:sz w:val="20"/>
                  <w:szCs w:val="20"/>
                </w:rPr>
                <w:t>39</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421075116"/>
              <w:rPr>
                <w:rFonts w:eastAsia="Times New Roman"/>
              </w:rPr>
            </w:pPr>
            <w:hyperlink w:anchor="if7a518a588154f7ab52f3429da641a28_148"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48" w:history="1">
              <w:r>
                <w:rPr>
                  <w:rStyle w:val="a3"/>
                  <w:rFonts w:eastAsia="Times New Roman"/>
                  <w:sz w:val="20"/>
                  <w:szCs w:val="20"/>
                </w:rPr>
                <w:t>39</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26298637"/>
              <w:rPr>
                <w:rFonts w:eastAsia="Times New Roman"/>
              </w:rPr>
            </w:pPr>
            <w:hyperlink w:anchor="if7a518a588154f7ab52f3429da641a28_151"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51" w:history="1">
              <w:r>
                <w:rPr>
                  <w:rStyle w:val="a3"/>
                  <w:rFonts w:eastAsia="Times New Roman"/>
                  <w:sz w:val="20"/>
                  <w:szCs w:val="20"/>
                </w:rPr>
                <w:t>40</w:t>
              </w:r>
            </w:hyperlink>
          </w:p>
        </w:tc>
      </w:tr>
      <w:tr w:rsidR="00000000">
        <w:trPr>
          <w:divId w:val="1380401040"/>
          <w:jc w:val="center"/>
        </w:trPr>
        <w:tc>
          <w:tcPr>
            <w:tcW w:w="0" w:type="auto"/>
            <w:gridSpan w:val="3"/>
            <w:tcMar>
              <w:top w:w="30" w:type="dxa"/>
              <w:left w:w="20" w:type="dxa"/>
              <w:bottom w:w="30" w:type="dxa"/>
              <w:right w:w="20" w:type="dxa"/>
            </w:tcMar>
            <w:hideMark/>
          </w:tcPr>
          <w:p w:rsidR="00000000" w:rsidRDefault="000242E9">
            <w:pPr>
              <w:divId w:val="679040565"/>
              <w:rPr>
                <w:rFonts w:eastAsia="Times New Roman"/>
              </w:rPr>
            </w:pPr>
            <w:hyperlink w:anchor="if7a518a588154f7ab52f3429da641a28_154"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rsidR="00000000" w:rsidRDefault="000242E9">
            <w:pPr>
              <w:jc w:val="right"/>
              <w:rPr>
                <w:rFonts w:eastAsia="Times New Roman"/>
              </w:rPr>
            </w:pPr>
            <w:hyperlink w:anchor="if7a518a588154f7ab52f3429da641a28_154" w:history="1">
              <w:r>
                <w:rPr>
                  <w:rStyle w:val="a3"/>
                  <w:rFonts w:eastAsia="Times New Roman"/>
                  <w:sz w:val="20"/>
                  <w:szCs w:val="20"/>
                </w:rPr>
                <w:t>41</w:t>
              </w:r>
            </w:hyperlink>
          </w:p>
        </w:tc>
      </w:tr>
    </w:tbl>
    <w:p w:rsidR="00000000" w:rsidRDefault="000242E9">
      <w:pPr>
        <w:ind w:firstLine="495"/>
        <w:jc w:val="both"/>
        <w:divId w:val="399793309"/>
        <w:rPr>
          <w:rFonts w:eastAsia="Times New Roman"/>
        </w:rPr>
      </w:pPr>
    </w:p>
    <w:p w:rsidR="00000000" w:rsidRDefault="000242E9">
      <w:pPr>
        <w:jc w:val="both"/>
        <w:divId w:val="436557215"/>
        <w:rPr>
          <w:rFonts w:eastAsia="Times New Roman"/>
        </w:rPr>
      </w:pPr>
    </w:p>
    <w:p w:rsidR="00000000" w:rsidRDefault="000242E9">
      <w:pPr>
        <w:rPr>
          <w:rFonts w:eastAsia="Times New Roman"/>
        </w:rPr>
      </w:pPr>
      <w:r>
        <w:rPr>
          <w:rFonts w:eastAsia="Times New Roman"/>
        </w:rPr>
        <w:pict>
          <v:rect id="_x0000_i1026" style="width:0;height:1.5pt" o:hralign="center" o:hrstd="t" o:hr="t" fillcolor="#a0a0a0" stroked="f"/>
        </w:pict>
      </w:r>
    </w:p>
    <w:p w:rsidR="00000000" w:rsidRDefault="000242E9">
      <w:pPr>
        <w:jc w:val="both"/>
        <w:divId w:val="89666720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896667201"/>
        <w:rPr>
          <w:rFonts w:eastAsia="Times New Roman"/>
        </w:rPr>
      </w:pPr>
    </w:p>
    <w:p w:rsidR="00000000" w:rsidRDefault="000242E9">
      <w:pPr>
        <w:jc w:val="center"/>
        <w:divId w:val="1365256220"/>
        <w:rPr>
          <w:rFonts w:eastAsia="Times New Roman"/>
        </w:rPr>
      </w:pPr>
      <w:r>
        <w:rPr>
          <w:rFonts w:eastAsia="Times New Roman"/>
          <w:b/>
          <w:bCs/>
          <w:color w:val="000000"/>
          <w:sz w:val="20"/>
          <w:szCs w:val="20"/>
        </w:rPr>
        <w:t>CAUTIONARY NOTE REGARDING FORWARD-LOOKING STATEMENTS</w:t>
      </w:r>
    </w:p>
    <w:p w:rsidR="00000000" w:rsidRDefault="000242E9">
      <w:pPr>
        <w:jc w:val="both"/>
        <w:divId w:val="1589383334"/>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f7a518a588154f7ab52f3429da641a28_88"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w:t>
      </w:r>
      <w:r>
        <w:rPr>
          <w:rFonts w:eastAsia="Times New Roman"/>
          <w:i/>
          <w:iCs/>
          <w:color w:val="000000"/>
          <w:sz w:val="20"/>
          <w:szCs w:val="20"/>
        </w:rPr>
        <w:lastRenderedPageBreak/>
        <w:t>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COVID-19 pandemic and global measures to mitigate the spread of the virus; macroeconomic trends that we expect may influence ou</w:t>
      </w:r>
      <w:r>
        <w:rPr>
          <w:rFonts w:eastAsia="Times New Roman"/>
          <w:i/>
          <w:iCs/>
          <w:color w:val="000000"/>
          <w:sz w:val="20"/>
          <w:szCs w:val="20"/>
        </w:rPr>
        <w:t>r business, including any recession resulting from the COVID-19 pandemic; plans for business continuity, financing and capital expenditures; expectations regarding liquidity, customer payments and compliance with financing covenants and other payment oblig</w:t>
      </w:r>
      <w:r>
        <w:rPr>
          <w:rFonts w:eastAsia="Times New Roman"/>
          <w:i/>
          <w:iCs/>
          <w:color w:val="000000"/>
          <w:sz w:val="20"/>
          <w:szCs w:val="20"/>
        </w:rPr>
        <w:t>ations; expectations regarding the introduction of new products; effects of restructuring, remote work arrangements and other employment actions; regulatory compliance and expected changes in the regulatory or privacy landscape affecting our business; expe</w:t>
      </w:r>
      <w:r>
        <w:rPr>
          <w:rFonts w:eastAsia="Times New Roman"/>
          <w:i/>
          <w:iCs/>
          <w:color w:val="000000"/>
          <w:sz w:val="20"/>
          <w:szCs w:val="20"/>
        </w:rPr>
        <w:t>cted impact of litigation and regulatory proceedings; plans for stabilization, growth and future operations; effects of acquisitions, divestitures and partnerships; expectations regarding a potential recapitalization transaction, reduction in outstanding i</w:t>
      </w:r>
      <w:r>
        <w:rPr>
          <w:rFonts w:eastAsia="Times New Roman"/>
          <w:i/>
          <w:iCs/>
          <w:color w:val="000000"/>
          <w:sz w:val="20"/>
          <w:szCs w:val="20"/>
        </w:rPr>
        <w:t>ndebtedness, and enhanced commercial relationships; as well as assumptions relating to the foregoing.</w:t>
      </w:r>
    </w:p>
    <w:p w:rsidR="00000000" w:rsidRDefault="000242E9">
      <w:pPr>
        <w:jc w:val="both"/>
        <w:divId w:val="1168399956"/>
        <w:rPr>
          <w:rFonts w:eastAsia="Times New Roman"/>
        </w:rPr>
      </w:pPr>
      <w:r>
        <w:rPr>
          <w:rFonts w:eastAsia="Times New Roman"/>
          <w:i/>
          <w:iCs/>
          <w:color w:val="000000"/>
          <w:sz w:val="20"/>
          <w:szCs w:val="20"/>
        </w:rPr>
        <w:t xml:space="preserve">Forward-looking statements are inherently subject to risks and uncertainties, some of which cannot be predicted or quantified. These statements are based </w:t>
      </w:r>
      <w:r>
        <w:rPr>
          <w:rFonts w:eastAsia="Times New Roman"/>
          <w:i/>
          <w:iCs/>
          <w:color w:val="000000"/>
          <w:sz w:val="20"/>
          <w:szCs w:val="20"/>
        </w:rPr>
        <w:t>on expectations and assumptions as of the date of this 10-Q regarding future events and business performance and involve known and unknown risks, uncertainties and other factors that may cause actual events or results to be materially different from any fu</w:t>
      </w:r>
      <w:r>
        <w:rPr>
          <w:rFonts w:eastAsia="Times New Roman"/>
          <w:i/>
          <w:iCs/>
          <w:color w:val="000000"/>
          <w:sz w:val="20"/>
          <w:szCs w:val="20"/>
        </w:rPr>
        <w:t xml:space="preserve">ture events or results expressed or implied by these statements. These factors include those set forth in the following discussion and within </w:t>
      </w:r>
      <w:hyperlink w:anchor="if7a518a588154f7ab52f3429da641a28_130" w:history="1">
        <w:r>
          <w:rPr>
            <w:rStyle w:val="a3"/>
            <w:rFonts w:eastAsia="Times New Roman"/>
            <w:i/>
            <w:iCs/>
            <w:sz w:val="20"/>
            <w:szCs w:val="20"/>
          </w:rPr>
          <w:t>Item 1A</w:t>
        </w:r>
      </w:hyperlink>
      <w:r>
        <w:rPr>
          <w:rFonts w:eastAsia="Times New Roman"/>
          <w:i/>
          <w:iCs/>
          <w:color w:val="000000"/>
          <w:sz w:val="20"/>
          <w:szCs w:val="20"/>
        </w:rPr>
        <w:t>, "Risk Factors" of this 10-Q and elsewhere wit</w:t>
      </w:r>
      <w:r>
        <w:rPr>
          <w:rFonts w:eastAsia="Times New Roman"/>
          <w:i/>
          <w:iCs/>
          <w:color w:val="000000"/>
          <w:sz w:val="20"/>
          <w:szCs w:val="20"/>
        </w:rPr>
        <w:t xml:space="preserve">hin this report; those identified within </w:t>
      </w:r>
      <w:hyperlink r:id="rId4" w:anchor="s626CB24FF3DC5DF49DE365CF200BB9B8" w:history="1">
        <w:r>
          <w:rPr>
            <w:rStyle w:val="a3"/>
            <w:rFonts w:eastAsia="Times New Roman"/>
            <w:i/>
            <w:iCs/>
            <w:sz w:val="20"/>
            <w:szCs w:val="20"/>
          </w:rPr>
          <w:t>Item 1A</w:t>
        </w:r>
      </w:hyperlink>
      <w:r>
        <w:rPr>
          <w:rFonts w:eastAsia="Times New Roman"/>
          <w:i/>
          <w:iCs/>
          <w:color w:val="000000"/>
          <w:sz w:val="20"/>
          <w:szCs w:val="20"/>
        </w:rPr>
        <w:t>, "Risk Factors" of our Annual Report on Form 10-K for the year end</w:t>
      </w:r>
      <w:r>
        <w:rPr>
          <w:rFonts w:eastAsia="Times New Roman"/>
          <w:i/>
          <w:iCs/>
          <w:color w:val="000000"/>
          <w:sz w:val="20"/>
          <w:szCs w:val="20"/>
        </w:rPr>
        <w:t xml:space="preserve">ed December 31, 2019; those identified within </w:t>
      </w:r>
      <w:hyperlink r:id="rId5"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"Risk Factors" of our Quarterly Report on Form 10-Q </w:t>
      </w:r>
      <w:r>
        <w:rPr>
          <w:rFonts w:eastAsia="Times New Roman"/>
          <w:i/>
          <w:iCs/>
          <w:color w:val="000000"/>
          <w:sz w:val="20"/>
          <w:szCs w:val="20"/>
        </w:rPr>
        <w:t xml:space="preserve">for the quarter ended March 31, 2020; those identified within </w:t>
      </w:r>
      <w:hyperlink r:id="rId6" w:anchor="if3309f2850e6489fbcf3fb9276fba379_142" w:history="1">
        <w:r>
          <w:rPr>
            <w:rStyle w:val="a3"/>
            <w:rFonts w:eastAsia="Times New Roman"/>
            <w:i/>
            <w:iCs/>
            <w:sz w:val="20"/>
            <w:szCs w:val="20"/>
          </w:rPr>
          <w:t>Item 1A</w:t>
        </w:r>
      </w:hyperlink>
      <w:r>
        <w:rPr>
          <w:rFonts w:eastAsia="Times New Roman"/>
          <w:i/>
          <w:iCs/>
          <w:color w:val="000000"/>
          <w:sz w:val="20"/>
          <w:szCs w:val="20"/>
        </w:rPr>
        <w:t>, "Risk Factors" of our Quarterly Re</w:t>
      </w:r>
      <w:r>
        <w:rPr>
          <w:rFonts w:eastAsia="Times New Roman"/>
          <w:i/>
          <w:iCs/>
          <w:color w:val="000000"/>
          <w:sz w:val="20"/>
          <w:szCs w:val="20"/>
        </w:rPr>
        <w:t>port on Form 10-Q for the quarter ended June 30, 2020; and those identified in other documents that we file from time to time with the U.S. Securities and Exchange Commission, or SEC.</w:t>
      </w:r>
    </w:p>
    <w:p w:rsidR="00000000" w:rsidRDefault="000242E9">
      <w:pPr>
        <w:jc w:val="both"/>
        <w:divId w:val="1300378731"/>
        <w:rPr>
          <w:rFonts w:eastAsia="Times New Roman"/>
        </w:rPr>
      </w:pPr>
      <w:r>
        <w:rPr>
          <w:rFonts w:eastAsia="Times New Roman"/>
          <w:i/>
          <w:iCs/>
          <w:color w:val="000000"/>
          <w:sz w:val="20"/>
          <w:szCs w:val="20"/>
        </w:rPr>
        <w:t>We believe that it is important to communicate our future expectations t</w:t>
      </w:r>
      <w:r>
        <w:rPr>
          <w:rFonts w:eastAsia="Times New Roman"/>
          <w:i/>
          <w:iCs/>
          <w:color w:val="000000"/>
          <w:sz w:val="20"/>
          <w:szCs w:val="20"/>
        </w:rPr>
        <w:t>o our investors. However, there may be events in the future that we are not able to accurately predict or control and that may cause our actual results to differ materially from the expectations we describe in our forward-looking statements. You should not</w:t>
      </w:r>
      <w:r>
        <w:rPr>
          <w:rFonts w:eastAsia="Times New Roman"/>
          <w:i/>
          <w:iCs/>
          <w:color w:val="000000"/>
          <w:sz w:val="20"/>
          <w:szCs w:val="20"/>
        </w:rPr>
        <w:t xml:space="preserve"> place undue reliance on forward-looking statements, which apply only as of the date of this 10-Q. You should carefully review the risk factors described in this 10-Q and in other documents that we file from time to time with the SEC. Except as required by</w:t>
      </w:r>
      <w:r>
        <w:rPr>
          <w:rFonts w:eastAsia="Times New Roman"/>
          <w:i/>
          <w:iCs/>
          <w:color w:val="000000"/>
          <w:sz w:val="20"/>
          <w:szCs w:val="20"/>
        </w:rPr>
        <w:t xml:space="preserve"> applicable law, including the rules and regulations of the SEC, we undertake no obligation, and expressly disclaim any duty, to publicly update or revise forward-looking statements, whether as a result of any new information, future events or otherwise. A</w:t>
      </w:r>
      <w:r>
        <w:rPr>
          <w:rFonts w:eastAsia="Times New Roman"/>
          <w:i/>
          <w:iCs/>
          <w:color w:val="000000"/>
          <w:sz w:val="20"/>
          <w:szCs w:val="20"/>
        </w:rPr>
        <w:t>lthough we believe the expectations reflected in the forward-looking statements are reasonable as of the date of this 10-Q, our statements are not guarantees of future results, levels of activity, performance, or achievements, and actual outcomes and resul</w:t>
      </w:r>
      <w:r>
        <w:rPr>
          <w:rFonts w:eastAsia="Times New Roman"/>
          <w:i/>
          <w:iCs/>
          <w:color w:val="000000"/>
          <w:sz w:val="20"/>
          <w:szCs w:val="20"/>
        </w:rPr>
        <w:t>ts may differ materially from those expressed in, or implied by, any of our statements.</w:t>
      </w:r>
    </w:p>
    <w:p w:rsidR="00000000" w:rsidRDefault="000242E9">
      <w:pPr>
        <w:jc w:val="center"/>
        <w:divId w:val="1961715646"/>
        <w:rPr>
          <w:rFonts w:eastAsia="Times New Roman"/>
        </w:rPr>
      </w:pPr>
      <w:r>
        <w:rPr>
          <w:rFonts w:eastAsia="Times New Roman"/>
          <w:color w:val="000000"/>
          <w:sz w:val="20"/>
          <w:szCs w:val="20"/>
        </w:rPr>
        <w:t>i</w:t>
      </w:r>
    </w:p>
    <w:p w:rsidR="00000000" w:rsidRDefault="000242E9">
      <w:pPr>
        <w:rPr>
          <w:rFonts w:eastAsia="Times New Roman"/>
        </w:rPr>
      </w:pPr>
      <w:r>
        <w:rPr>
          <w:rFonts w:eastAsia="Times New Roman"/>
        </w:rPr>
        <w:pict>
          <v:rect id="_x0000_i1027" style="width:0;height:1.5pt" o:hralign="center" o:hrstd="t" o:hr="t" fillcolor="#a0a0a0" stroked="f"/>
        </w:pict>
      </w:r>
    </w:p>
    <w:p w:rsidR="00000000" w:rsidRDefault="000242E9">
      <w:pPr>
        <w:jc w:val="both"/>
        <w:divId w:val="1544244718"/>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544244718"/>
        <w:rPr>
          <w:rFonts w:eastAsia="Times New Roman"/>
        </w:rPr>
      </w:pPr>
    </w:p>
    <w:p w:rsidR="00000000" w:rsidRDefault="000242E9">
      <w:pPr>
        <w:jc w:val="center"/>
        <w:rPr>
          <w:rFonts w:eastAsia="Times New Roman"/>
        </w:rPr>
      </w:pPr>
    </w:p>
    <w:p w:rsidR="00000000" w:rsidRDefault="000242E9">
      <w:pPr>
        <w:jc w:val="center"/>
        <w:rPr>
          <w:rFonts w:eastAsia="Times New Roman"/>
        </w:rPr>
      </w:pPr>
      <w:r>
        <w:rPr>
          <w:rFonts w:eastAsia="Times New Roman"/>
          <w:b/>
          <w:bCs/>
          <w:color w:val="000000"/>
          <w:sz w:val="20"/>
          <w:szCs w:val="20"/>
        </w:rPr>
        <w:t>PART I. FINANCIAL INFORMATION</w:t>
      </w:r>
    </w:p>
    <w:tbl>
      <w:tblPr>
        <w:tblW w:w="4722" w:type="pct"/>
        <w:jc w:val="center"/>
        <w:tblCellMar>
          <w:top w:w="15" w:type="dxa"/>
          <w:left w:w="15" w:type="dxa"/>
          <w:bottom w:w="15" w:type="dxa"/>
          <w:right w:w="15" w:type="dxa"/>
        </w:tblCellMar>
        <w:tblLook w:val="04A0" w:firstRow="1" w:lastRow="0" w:firstColumn="1" w:lastColumn="0" w:noHBand="0" w:noVBand="1"/>
      </w:tblPr>
      <w:tblGrid>
        <w:gridCol w:w="66"/>
        <w:gridCol w:w="820"/>
        <w:gridCol w:w="36"/>
        <w:gridCol w:w="64"/>
        <w:gridCol w:w="6822"/>
        <w:gridCol w:w="36"/>
      </w:tblGrid>
      <w:tr w:rsidR="00000000">
        <w:trPr>
          <w:divId w:val="220558794"/>
          <w:jc w:val="center"/>
        </w:trPr>
        <w:tc>
          <w:tcPr>
            <w:tcW w:w="50" w:type="pct"/>
            <w:vAlign w:val="center"/>
            <w:hideMark/>
          </w:tcPr>
          <w:p w:rsidR="00000000" w:rsidRDefault="000242E9">
            <w:pPr>
              <w:jc w:val="center"/>
              <w:rPr>
                <w:rFonts w:eastAsia="Times New Roman"/>
              </w:rPr>
            </w:pPr>
          </w:p>
        </w:tc>
        <w:tc>
          <w:tcPr>
            <w:tcW w:w="53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5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20558794"/>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FINANCIAL STATEMENTS</w:t>
            </w:r>
          </w:p>
        </w:tc>
      </w:tr>
    </w:tbl>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rPr>
          <w:rFonts w:eastAsia="Times New Roman"/>
        </w:rPr>
      </w:pPr>
      <w:r>
        <w:rPr>
          <w:rFonts w:eastAsia="Times New Roman"/>
          <w:b/>
          <w:bCs/>
          <w:color w:val="000000"/>
          <w:sz w:val="20"/>
          <w:szCs w:val="20"/>
        </w:rPr>
        <w:t>CONDENSED CONSOLIDATED BALANCE SHEETS</w:t>
      </w:r>
    </w:p>
    <w:p w:rsidR="00000000" w:rsidRDefault="000242E9">
      <w:pPr>
        <w:jc w:val="center"/>
        <w:rPr>
          <w:rFonts w:eastAsia="Times New Roman"/>
        </w:rPr>
      </w:pPr>
      <w:r>
        <w:rPr>
          <w:rFonts w:eastAsia="Times New Roman"/>
          <w:b/>
          <w:bCs/>
          <w:color w:val="000000"/>
          <w:sz w:val="16"/>
          <w:szCs w:val="16"/>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96"/>
        <w:gridCol w:w="38"/>
        <w:gridCol w:w="36"/>
        <w:gridCol w:w="36"/>
        <w:gridCol w:w="36"/>
        <w:gridCol w:w="111"/>
        <w:gridCol w:w="960"/>
        <w:gridCol w:w="37"/>
        <w:gridCol w:w="36"/>
        <w:gridCol w:w="36"/>
        <w:gridCol w:w="36"/>
        <w:gridCol w:w="112"/>
        <w:gridCol w:w="960"/>
        <w:gridCol w:w="36"/>
      </w:tblGrid>
      <w:tr w:rsidR="00000000">
        <w:trPr>
          <w:divId w:val="506679634"/>
          <w:jc w:val="center"/>
        </w:trPr>
        <w:tc>
          <w:tcPr>
            <w:tcW w:w="50" w:type="pct"/>
            <w:vAlign w:val="center"/>
            <w:hideMark/>
          </w:tcPr>
          <w:p w:rsidR="00000000" w:rsidRDefault="000242E9">
            <w:pPr>
              <w:jc w:val="center"/>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506679634"/>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506679634"/>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506679634"/>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lastRenderedPageBreak/>
              <w:t>Current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32,221 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46,590 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19,613 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20,183 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39479987"/>
              <w:rPr>
                <w:rFonts w:eastAsia="Times New Roman"/>
              </w:rPr>
            </w:pPr>
            <w:r>
              <w:rPr>
                <w:rFonts w:eastAsia="Times New Roman"/>
                <w:color w:val="000000"/>
                <w:sz w:val="18"/>
                <w:szCs w:val="18"/>
              </w:rPr>
              <w:t>Accounts receivable, net of allowances of $2,763 and $1,919, respectively ($2,405 and $2,698 of accounts receivable attributable to related parties, respectively)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59,808 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71,853 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53229350"/>
              <w:rPr>
                <w:rFonts w:eastAsia="Times New Roman"/>
              </w:rPr>
            </w:pPr>
            <w:r>
              <w:rPr>
                <w:rFonts w:eastAsia="Times New Roman"/>
                <w:color w:val="000000"/>
                <w:sz w:val="18"/>
                <w:szCs w:val="18"/>
              </w:rPr>
              <w:t>Prepaid expenses and other current assets ($1,181 and $1,180 attributable to related parties, respectively)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16,217 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15,357 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127,859 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Property and equipment, net </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31,269 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31,693 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Operating right-of-use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30,216 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36,689 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4,641 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2,979 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Deferred tax assets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2,131 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2,374 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Intangible assets, net </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59,041 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79,559 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Goodwill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417,065 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416,418 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672,222 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723,695 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820607041"/>
              <w:rPr>
                <w:rFonts w:eastAsia="Times New Roman"/>
              </w:rPr>
            </w:pPr>
            <w:r>
              <w:rPr>
                <w:rFonts w:eastAsia="Times New Roman"/>
                <w:color w:val="000000"/>
                <w:sz w:val="18"/>
                <w:szCs w:val="18"/>
              </w:rPr>
              <w:t>Accounts payable ($2,523 and $2,510 attributable to related parties, respectively)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42,130 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44,804 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517960174"/>
              <w:rPr>
                <w:rFonts w:eastAsia="Times New Roman"/>
              </w:rPr>
            </w:pPr>
            <w:r>
              <w:rPr>
                <w:rFonts w:eastAsia="Times New Roman"/>
                <w:color w:val="000000"/>
                <w:sz w:val="18"/>
                <w:szCs w:val="18"/>
              </w:rPr>
              <w:t>Accrued expenses ($3,224 and $6,902 attributable to related parties, respectively)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47,593 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55,507 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808521291"/>
              <w:rPr>
                <w:rFonts w:eastAsia="Times New Roman"/>
              </w:rPr>
            </w:pPr>
            <w:r>
              <w:rPr>
                <w:rFonts w:eastAsia="Times New Roman"/>
                <w:color w:val="000000"/>
                <w:sz w:val="18"/>
                <w:szCs w:val="18"/>
              </w:rPr>
              <w:t>Contract liabilities ($1,956 and $1,519 attributable to related parties, respectively)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50,040 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58,158 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Customer advances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8,483 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9,886 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7,725 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6,886 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5,549 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7,393 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Secured term note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12,565 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12,463 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Financing derivatives (related parties)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21,587 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Senior secured convertible notes (related parties)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190,533 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184,075 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37,868 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42,497 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4,026 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438063205"/>
              <w:rPr>
                <w:rFonts w:eastAsia="Times New Roman"/>
              </w:rPr>
            </w:pPr>
            <w:r>
              <w:rPr>
                <w:rFonts w:eastAsia="Times New Roman"/>
                <w:color w:val="000000"/>
                <w:sz w:val="18"/>
                <w:szCs w:val="18"/>
              </w:rPr>
              <w:t>Other non-current liabilities ($3,060 and $— attributable to related parties, respectively)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15,434 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13,284 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438,268 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464,721 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Commitments and contingencies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667963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516508920"/>
              <w:rPr>
                <w:rFonts w:eastAsia="Times New Roman"/>
              </w:rPr>
            </w:pPr>
            <w:r>
              <w:rPr>
                <w:rFonts w:eastAsia="Times New Roman"/>
                <w:color w:val="000000"/>
                <w:sz w:val="18"/>
                <w:szCs w:val="18"/>
              </w:rPr>
              <w:t xml:space="preserve">Preferred stock, $0.001 par value per share; 5,000,000 shares authorized at September 30, 2020 and December 31, 2019; no </w:t>
            </w:r>
            <w:r>
              <w:rPr>
                <w:rFonts w:eastAsia="Times New Roman"/>
                <w:color w:val="000000"/>
                <w:sz w:val="18"/>
                <w:szCs w:val="18"/>
              </w:rPr>
              <w:t>shares issued or outstanding as of September 30, 2020 and December 31, 2019</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879777313"/>
              <w:rPr>
                <w:rFonts w:eastAsia="Times New Roman"/>
              </w:rPr>
            </w:pPr>
            <w:r>
              <w:rPr>
                <w:rFonts w:eastAsia="Times New Roman"/>
                <w:color w:val="000000"/>
                <w:sz w:val="18"/>
                <w:szCs w:val="18"/>
              </w:rPr>
              <w:t xml:space="preserve">Common stock, $0.001 par value per share; 150,000,000 shares authorized as of September 30, 2020 and December 31, 2019; 78,077,140 </w:t>
            </w:r>
            <w:r>
              <w:rPr>
                <w:rFonts w:eastAsia="Times New Roman"/>
                <w:color w:val="000000"/>
                <w:sz w:val="18"/>
                <w:szCs w:val="18"/>
              </w:rPr>
              <w:t>shares issued and 71,312,344 shares outstanding as of September 30, 2020, and 76,829,926 shares issued and 70,065,130 shares outstanding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Additional paid-in capital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1,617,602 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1,609,358 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(10,892)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(12,333)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(1,142,843)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(1,108,137)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465048515"/>
              <w:rPr>
                <w:rFonts w:eastAsia="Times New Roman"/>
              </w:rPr>
            </w:pPr>
            <w:r>
              <w:rPr>
                <w:rFonts w:eastAsia="Times New Roman"/>
                <w:color w:val="000000"/>
                <w:sz w:val="18"/>
                <w:szCs w:val="18"/>
              </w:rPr>
              <w:t>Treasury stock, at cost, 6,764,796 shares as of September 30, 2020 and December 31, 2019</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lastRenderedPageBreak/>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233,954 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258,974 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667963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672,222 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723,695 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rPr>
          <w:rFonts w:eastAsia="Times New Roman"/>
        </w:rPr>
      </w:pPr>
      <w:r>
        <w:rPr>
          <w:rFonts w:eastAsia="Times New Roman"/>
          <w:color w:val="000000"/>
          <w:sz w:val="18"/>
          <w:szCs w:val="18"/>
        </w:rPr>
        <w:t>See accompanying Notes to Condensed Consolidated Financial Statements.</w:t>
      </w:r>
    </w:p>
    <w:p w:rsidR="00000000" w:rsidRDefault="000242E9">
      <w:pPr>
        <w:jc w:val="center"/>
        <w:divId w:val="1767967686"/>
        <w:rPr>
          <w:rFonts w:eastAsia="Times New Roman"/>
        </w:rPr>
      </w:pPr>
      <w:r>
        <w:rPr>
          <w:rFonts w:eastAsia="Times New Roman"/>
          <w:color w:val="000000"/>
          <w:sz w:val="20"/>
          <w:szCs w:val="20"/>
        </w:rPr>
        <w:t>1</w:t>
      </w:r>
    </w:p>
    <w:p w:rsidR="00000000" w:rsidRDefault="000242E9">
      <w:pPr>
        <w:rPr>
          <w:rFonts w:eastAsia="Times New Roman"/>
        </w:rPr>
      </w:pPr>
      <w:r>
        <w:rPr>
          <w:rFonts w:eastAsia="Times New Roman"/>
        </w:rPr>
        <w:pict>
          <v:rect id="_x0000_i1028" style="width:0;height:1.5pt" o:hralign="center" o:hrstd="t" o:hr="t" fillcolor="#a0a0a0" stroked="f"/>
        </w:pict>
      </w:r>
    </w:p>
    <w:p w:rsidR="00000000" w:rsidRDefault="000242E9">
      <w:pPr>
        <w:jc w:val="both"/>
        <w:divId w:val="520779782"/>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520779782"/>
        <w:rPr>
          <w:rFonts w:eastAsia="Times New Roman"/>
        </w:rPr>
      </w:pPr>
    </w:p>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divId w:val="978147366"/>
        <w:rPr>
          <w:rFonts w:eastAsia="Times New Roman"/>
        </w:rPr>
      </w:pPr>
      <w:r>
        <w:rPr>
          <w:rFonts w:eastAsia="Times New Roman"/>
          <w:b/>
          <w:bCs/>
          <w:color w:val="000000"/>
          <w:sz w:val="20"/>
          <w:szCs w:val="20"/>
        </w:rPr>
        <w:t>CONDENSED CONSOLIDATED STATEMENTS OF OPERATIONS AND COMPREHENSIVE LOSS</w:t>
      </w:r>
    </w:p>
    <w:p w:rsidR="00000000" w:rsidRDefault="000242E9">
      <w:pPr>
        <w:jc w:val="center"/>
        <w:divId w:val="1217275812"/>
        <w:rPr>
          <w:rFonts w:eastAsia="Times New Roman"/>
        </w:rPr>
      </w:pPr>
      <w:r>
        <w:rPr>
          <w:rFonts w:eastAsia="Times New Roman"/>
          <w:b/>
          <w:bCs/>
          <w:color w:val="000000"/>
          <w:sz w:val="16"/>
          <w:szCs w:val="16"/>
        </w:rPr>
        <w:t>(Unaudited)</w:t>
      </w:r>
    </w:p>
    <w:p w:rsidR="00000000" w:rsidRDefault="000242E9">
      <w:pPr>
        <w:jc w:val="center"/>
        <w:rPr>
          <w:rFonts w:eastAsia="Times New Roman"/>
        </w:rPr>
      </w:pPr>
      <w:r>
        <w:rPr>
          <w:rFonts w:eastAsia="Times New Roman"/>
          <w:b/>
          <w:bCs/>
          <w:color w:val="000000"/>
          <w:sz w:val="16"/>
          <w:szCs w:val="16"/>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370"/>
        <w:gridCol w:w="37"/>
        <w:gridCol w:w="48"/>
        <w:gridCol w:w="322"/>
        <w:gridCol w:w="37"/>
        <w:gridCol w:w="48"/>
        <w:gridCol w:w="322"/>
        <w:gridCol w:w="37"/>
        <w:gridCol w:w="48"/>
        <w:gridCol w:w="322"/>
        <w:gridCol w:w="37"/>
        <w:gridCol w:w="48"/>
        <w:gridCol w:w="322"/>
        <w:gridCol w:w="37"/>
        <w:gridCol w:w="48"/>
        <w:gridCol w:w="322"/>
        <w:gridCol w:w="37"/>
        <w:gridCol w:w="49"/>
        <w:gridCol w:w="323"/>
        <w:gridCol w:w="37"/>
        <w:gridCol w:w="49"/>
        <w:gridCol w:w="323"/>
        <w:gridCol w:w="37"/>
        <w:gridCol w:w="36"/>
        <w:gridCol w:w="36"/>
        <w:gridCol w:w="36"/>
        <w:gridCol w:w="111"/>
        <w:gridCol w:w="994"/>
        <w:gridCol w:w="36"/>
        <w:gridCol w:w="36"/>
        <w:gridCol w:w="36"/>
        <w:gridCol w:w="36"/>
        <w:gridCol w:w="111"/>
        <w:gridCol w:w="994"/>
        <w:gridCol w:w="36"/>
        <w:gridCol w:w="36"/>
        <w:gridCol w:w="36"/>
        <w:gridCol w:w="36"/>
        <w:gridCol w:w="111"/>
        <w:gridCol w:w="994"/>
        <w:gridCol w:w="36"/>
        <w:gridCol w:w="36"/>
        <w:gridCol w:w="36"/>
        <w:gridCol w:w="36"/>
        <w:gridCol w:w="111"/>
        <w:gridCol w:w="996"/>
        <w:gridCol w:w="36"/>
      </w:tblGrid>
      <w:tr w:rsidR="00000000">
        <w:trPr>
          <w:divId w:val="986666753"/>
          <w:jc w:val="center"/>
        </w:trPr>
        <w:tc>
          <w:tcPr>
            <w:tcW w:w="50" w:type="pct"/>
            <w:vAlign w:val="center"/>
            <w:hideMark/>
          </w:tcPr>
          <w:p w:rsidR="00000000" w:rsidRDefault="000242E9">
            <w:pPr>
              <w:jc w:val="center"/>
              <w:rPr>
                <w:rFonts w:eastAsia="Times New Roman"/>
              </w:rPr>
            </w:pPr>
          </w:p>
        </w:tc>
        <w:tc>
          <w:tcPr>
            <w:tcW w:w="24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1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986666753"/>
          <w:jc w:val="center"/>
        </w:trPr>
        <w:tc>
          <w:tcPr>
            <w:tcW w:w="0" w:type="auto"/>
            <w:gridSpan w:val="24"/>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986666753"/>
          <w:jc w:val="center"/>
        </w:trPr>
        <w:tc>
          <w:tcPr>
            <w:tcW w:w="0" w:type="auto"/>
            <w:gridSpan w:val="24"/>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divId w:val="1610119804"/>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trHeight w:val="240"/>
          <w:jc w:val="center"/>
        </w:trPr>
        <w:tc>
          <w:tcPr>
            <w:tcW w:w="0" w:type="auto"/>
            <w:gridSpan w:val="24"/>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divId w:val="152723015"/>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i/>
                <w:iCs/>
                <w:color w:val="000000"/>
                <w:sz w:val="12"/>
                <w:szCs w:val="12"/>
              </w:rPr>
              <w:t>(1)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46,466 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47,390 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137,213 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152,791 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divId w:val="2118676093"/>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17,131 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20,421 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52,351 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68,590 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divId w:val="1623414441"/>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i/>
                <w:iCs/>
                <w:color w:val="000000"/>
                <w:sz w:val="12"/>
                <w:szCs w:val="12"/>
              </w:rPr>
              <w:t xml:space="preserve">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9,501 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29,402 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49,163 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divId w:val="939485644"/>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i/>
                <w:iCs/>
                <w:color w:val="000000"/>
                <w:sz w:val="12"/>
                <w:szCs w:val="12"/>
              </w:rPr>
              <w:t>(1) (2)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12,136 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41,420 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50,541 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6,970 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divId w:val="1320500470"/>
              <w:rPr>
                <w:rFonts w:eastAsia="Times New Roman"/>
              </w:rPr>
            </w:pPr>
            <w:r>
              <w:rPr>
                <w:rFonts w:eastAsia="Times New Roman"/>
                <w:color w:val="000000"/>
                <w:sz w:val="18"/>
                <w:szCs w:val="18"/>
              </w:rPr>
              <w:t>Restructuring</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Investigation and audit related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4,176 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Settlement of litigation, net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goodwill</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intangible asset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expenses from operations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91,984 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104,059 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285,571 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598,041 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(304,559)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divId w:val="846096430"/>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(9,027)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(8,175)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(26,729)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(23,176)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Other income, net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6,733 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12,862 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6,621 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gain from foreign currency transactions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(2,012)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(2,152)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(35,544)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(320,346)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838 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2,740 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(317,606)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(0.49)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71,222,122 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64,157,167 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70,638,292 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61,603,357 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(11,121)</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(10,559)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(34,706)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(317,606)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(2,950)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1,441 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(2,894)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986666753"/>
          <w:jc w:val="center"/>
        </w:trPr>
        <w:tc>
          <w:tcPr>
            <w:tcW w:w="0" w:type="auto"/>
            <w:gridSpan w:val="24"/>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w:t>
            </w:r>
            <w:r>
              <w:rPr>
                <w:rFonts w:eastAsia="Times New Roman"/>
                <w:color w:val="000000"/>
                <w:sz w:val="18"/>
                <w:szCs w:val="18"/>
              </w:rPr>
              <w:t>8,371)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(13,509)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(33,265)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(320,500)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986666753"/>
          <w:trHeight w:val="120"/>
          <w:jc w:val="center"/>
        </w:trPr>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86666753"/>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986666753"/>
          <w:jc w:val="center"/>
        </w:trPr>
        <w:tc>
          <w:tcPr>
            <w:tcW w:w="0" w:type="auto"/>
            <w:gridSpan w:val="48"/>
            <w:shd w:val="clear" w:color="auto" w:fill="FFFFFF"/>
            <w:tcMar>
              <w:top w:w="30" w:type="dxa"/>
              <w:left w:w="20" w:type="dxa"/>
              <w:bottom w:w="30" w:type="dxa"/>
              <w:right w:w="20" w:type="dxa"/>
            </w:tcMar>
            <w:vAlign w:val="bottom"/>
            <w:hideMark/>
          </w:tcPr>
          <w:p w:rsidR="00000000" w:rsidRDefault="000242E9">
            <w:pPr>
              <w:divId w:val="1161506926"/>
              <w:rPr>
                <w:rFonts w:eastAsia="Times New Roman"/>
              </w:rPr>
            </w:pPr>
            <w:r>
              <w:rPr>
                <w:rFonts w:eastAsia="Times New Roman"/>
                <w:i/>
                <w:iCs/>
                <w:color w:val="000000"/>
                <w:sz w:val="18"/>
                <w:szCs w:val="18"/>
              </w:rPr>
              <w:t>(1) Transactions with related parties are included in the line items above (refer to </w:t>
            </w:r>
            <w:hyperlink w:anchor="if7a518a588154f7ab52f3429da641a28_70" w:history="1">
              <w:r>
                <w:rPr>
                  <w:rStyle w:val="a3"/>
                  <w:rFonts w:eastAsia="Times New Roman"/>
                  <w:i/>
                  <w:iCs/>
                  <w:sz w:val="18"/>
                  <w:szCs w:val="18"/>
                </w:rPr>
                <w:t>Footnote 8</w:t>
              </w:r>
            </w:hyperlink>
            <w:r>
              <w:rPr>
                <w:rFonts w:eastAsia="Times New Roman"/>
                <w:i/>
                <w:iCs/>
                <w:color w:val="000000"/>
                <w:sz w:val="18"/>
                <w:szCs w:val="18"/>
              </w:rPr>
              <w:t>, Related Party Transactions, of the Notes to Condensed Consolidated Financial Statements for addition</w:t>
            </w:r>
            <w:r>
              <w:rPr>
                <w:rFonts w:eastAsia="Times New Roman"/>
                <w:i/>
                <w:iCs/>
                <w:color w:val="000000"/>
                <w:sz w:val="18"/>
                <w:szCs w:val="18"/>
              </w:rPr>
              <w:t xml:space="preserve">al information). </w:t>
            </w:r>
          </w:p>
        </w:tc>
      </w:tr>
      <w:tr w:rsidR="00000000">
        <w:trPr>
          <w:divId w:val="986666753"/>
          <w:trHeight w:val="120"/>
          <w:jc w:val="center"/>
        </w:trPr>
        <w:tc>
          <w:tcPr>
            <w:tcW w:w="0" w:type="auto"/>
            <w:gridSpan w:val="48"/>
            <w:tcMar>
              <w:top w:w="0" w:type="dxa"/>
              <w:left w:w="20" w:type="dxa"/>
              <w:bottom w:w="0" w:type="dxa"/>
              <w:right w:w="20" w:type="dxa"/>
            </w:tcMar>
            <w:vAlign w:val="center"/>
            <w:hideMark/>
          </w:tcPr>
          <w:p w:rsidR="00000000" w:rsidRDefault="000242E9">
            <w:pPr>
              <w:rPr>
                <w:rFonts w:eastAsia="Times New Roman"/>
              </w:rPr>
            </w:pPr>
          </w:p>
        </w:tc>
      </w:tr>
      <w:tr w:rsidR="00000000">
        <w:trPr>
          <w:divId w:val="986666753"/>
          <w:jc w:val="center"/>
        </w:trPr>
        <w:tc>
          <w:tcPr>
            <w:tcW w:w="0" w:type="auto"/>
            <w:gridSpan w:val="48"/>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8"/>
                <w:szCs w:val="18"/>
              </w:rPr>
              <w:lastRenderedPageBreak/>
              <w:t>(2) Excludes amortization of intangible assets, which is presented as a separate line item.</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33"/>
        <w:gridCol w:w="39"/>
        <w:gridCol w:w="36"/>
        <w:gridCol w:w="36"/>
        <w:gridCol w:w="36"/>
        <w:gridCol w:w="110"/>
        <w:gridCol w:w="944"/>
        <w:gridCol w:w="36"/>
        <w:gridCol w:w="36"/>
        <w:gridCol w:w="36"/>
        <w:gridCol w:w="36"/>
        <w:gridCol w:w="110"/>
        <w:gridCol w:w="944"/>
        <w:gridCol w:w="36"/>
        <w:gridCol w:w="36"/>
        <w:gridCol w:w="36"/>
        <w:gridCol w:w="36"/>
        <w:gridCol w:w="110"/>
        <w:gridCol w:w="945"/>
        <w:gridCol w:w="36"/>
        <w:gridCol w:w="36"/>
        <w:gridCol w:w="36"/>
        <w:gridCol w:w="36"/>
        <w:gridCol w:w="110"/>
        <w:gridCol w:w="945"/>
        <w:gridCol w:w="36"/>
      </w:tblGrid>
      <w:tr w:rsidR="00000000">
        <w:trPr>
          <w:jc w:val="center"/>
        </w:trPr>
        <w:tc>
          <w:tcPr>
            <w:tcW w:w="50" w:type="pct"/>
            <w:vAlign w:val="center"/>
            <w:hideMark/>
          </w:tcPr>
          <w:p w:rsidR="00000000" w:rsidRDefault="000242E9">
            <w:pPr>
              <w:jc w:val="center"/>
              <w:rPr>
                <w:rFonts w:eastAsia="Times New Roman"/>
              </w:rPr>
            </w:pPr>
          </w:p>
        </w:tc>
        <w:tc>
          <w:tcPr>
            <w:tcW w:w="213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jc w:val="center"/>
        </w:trPr>
        <w:tc>
          <w:tcPr>
            <w:tcW w:w="0" w:type="auto"/>
            <w:gridSpan w:val="27"/>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8"/>
                <w:szCs w:val="18"/>
              </w:rPr>
              <w:t>(3) Stock-based compensation expense is included in the line items above as follows: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Selling and marketing</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625 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756 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1,954 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3,159 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1,863 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General and administrative</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1,010 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1,392 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3,558 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7,368 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Restructuring</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14,133 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rPr>
          <w:rFonts w:eastAsia="Times New Roman"/>
        </w:rPr>
      </w:pPr>
    </w:p>
    <w:p w:rsidR="00000000" w:rsidRDefault="000242E9">
      <w:pPr>
        <w:jc w:val="center"/>
        <w:rPr>
          <w:rFonts w:eastAsia="Times New Roman"/>
        </w:rPr>
      </w:pPr>
    </w:p>
    <w:p w:rsidR="00000000" w:rsidRDefault="000242E9">
      <w:pPr>
        <w:jc w:val="center"/>
        <w:rPr>
          <w:rFonts w:eastAsia="Times New Roman"/>
        </w:rPr>
      </w:pPr>
    </w:p>
    <w:p w:rsidR="00000000" w:rsidRDefault="000242E9">
      <w:pPr>
        <w:jc w:val="center"/>
        <w:rPr>
          <w:rFonts w:eastAsia="Times New Roman"/>
        </w:rPr>
      </w:pPr>
    </w:p>
    <w:p w:rsidR="00000000" w:rsidRDefault="000242E9">
      <w:pPr>
        <w:jc w:val="center"/>
        <w:rPr>
          <w:rFonts w:eastAsia="Times New Roman"/>
        </w:rPr>
      </w:pPr>
    </w:p>
    <w:p w:rsidR="00000000" w:rsidRDefault="000242E9">
      <w:pPr>
        <w:jc w:val="center"/>
        <w:rPr>
          <w:rFonts w:eastAsia="Times New Roman"/>
        </w:rPr>
      </w:pPr>
    </w:p>
    <w:p w:rsidR="00000000" w:rsidRDefault="000242E9">
      <w:pPr>
        <w:jc w:val="center"/>
        <w:divId w:val="458183451"/>
        <w:rPr>
          <w:rFonts w:eastAsia="Times New Roman"/>
        </w:rPr>
      </w:pPr>
      <w:r>
        <w:rPr>
          <w:rFonts w:eastAsia="Times New Roman"/>
          <w:color w:val="000000"/>
          <w:sz w:val="20"/>
          <w:szCs w:val="20"/>
        </w:rPr>
        <w:t>2</w:t>
      </w:r>
    </w:p>
    <w:p w:rsidR="00000000" w:rsidRDefault="000242E9">
      <w:pPr>
        <w:rPr>
          <w:rFonts w:eastAsia="Times New Roman"/>
        </w:rPr>
      </w:pPr>
      <w:r>
        <w:rPr>
          <w:rFonts w:eastAsia="Times New Roman"/>
        </w:rPr>
        <w:pict>
          <v:rect id="_x0000_i1029" style="width:0;height:1.5pt" o:hralign="center" o:hrstd="t" o:hr="t" fillcolor="#a0a0a0" stroked="f"/>
        </w:pict>
      </w:r>
    </w:p>
    <w:p w:rsidR="00000000" w:rsidRDefault="000242E9">
      <w:pPr>
        <w:jc w:val="both"/>
        <w:divId w:val="15157535"/>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5157535"/>
        <w:rPr>
          <w:rFonts w:eastAsia="Times New Roman"/>
        </w:rPr>
      </w:pPr>
    </w:p>
    <w:p w:rsidR="00000000" w:rsidRDefault="000242E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34"/>
        <w:gridCol w:w="38"/>
        <w:gridCol w:w="36"/>
        <w:gridCol w:w="36"/>
        <w:gridCol w:w="36"/>
        <w:gridCol w:w="110"/>
        <w:gridCol w:w="944"/>
        <w:gridCol w:w="36"/>
        <w:gridCol w:w="36"/>
        <w:gridCol w:w="36"/>
        <w:gridCol w:w="36"/>
        <w:gridCol w:w="110"/>
        <w:gridCol w:w="945"/>
        <w:gridCol w:w="36"/>
        <w:gridCol w:w="36"/>
        <w:gridCol w:w="36"/>
        <w:gridCol w:w="36"/>
        <w:gridCol w:w="110"/>
        <w:gridCol w:w="945"/>
        <w:gridCol w:w="36"/>
        <w:gridCol w:w="36"/>
        <w:gridCol w:w="36"/>
        <w:gridCol w:w="36"/>
        <w:gridCol w:w="110"/>
        <w:gridCol w:w="945"/>
        <w:gridCol w:w="36"/>
      </w:tblGrid>
      <w:tr w:rsidR="00000000">
        <w:trPr>
          <w:divId w:val="1517042690"/>
          <w:jc w:val="center"/>
        </w:trPr>
        <w:tc>
          <w:tcPr>
            <w:tcW w:w="50" w:type="pct"/>
            <w:vAlign w:val="center"/>
            <w:hideMark/>
          </w:tcPr>
          <w:p w:rsidR="00000000" w:rsidRDefault="000242E9">
            <w:pPr>
              <w:jc w:val="center"/>
              <w:rPr>
                <w:rFonts w:eastAsia="Times New Roman"/>
              </w:rPr>
            </w:pPr>
          </w:p>
        </w:tc>
        <w:tc>
          <w:tcPr>
            <w:tcW w:w="213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17042690"/>
          <w:jc w:val="center"/>
        </w:trPr>
        <w:tc>
          <w:tcPr>
            <w:tcW w:w="0" w:type="auto"/>
            <w:gridSpan w:val="27"/>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8"/>
                <w:szCs w:val="18"/>
              </w:rPr>
              <w:t>(4) Lease cost, net of sublease income, is included in the line items above as follows:</w:t>
            </w:r>
          </w:p>
        </w:tc>
      </w:tr>
      <w:tr w:rsidR="00000000">
        <w:trPr>
          <w:divId w:val="1517042690"/>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1704269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517042690"/>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832 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1,099 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3,355 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3,055 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636 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743 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2,279 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1,618 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operating lease cost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10,160 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1,449 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1704269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amortization of right-of-use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rPr>
          <w:rFonts w:eastAsia="Times New Roman"/>
        </w:rPr>
      </w:pPr>
      <w:r>
        <w:rPr>
          <w:rFonts w:eastAsia="Times New Roman"/>
          <w:color w:val="000000"/>
          <w:sz w:val="18"/>
          <w:szCs w:val="18"/>
        </w:rPr>
        <w:t xml:space="preserve">See accompanying Notes to Condensed Consolidated Financial Statements. </w:t>
      </w:r>
    </w:p>
    <w:p w:rsidR="00000000" w:rsidRDefault="000242E9">
      <w:pPr>
        <w:jc w:val="center"/>
        <w:divId w:val="1091702813"/>
        <w:rPr>
          <w:rFonts w:eastAsia="Times New Roman"/>
        </w:rPr>
      </w:pPr>
      <w:r>
        <w:rPr>
          <w:rFonts w:eastAsia="Times New Roman"/>
          <w:color w:val="000000"/>
          <w:sz w:val="20"/>
          <w:szCs w:val="20"/>
        </w:rPr>
        <w:t>3</w:t>
      </w:r>
    </w:p>
    <w:p w:rsidR="00000000" w:rsidRDefault="000242E9">
      <w:pPr>
        <w:rPr>
          <w:rFonts w:eastAsia="Times New Roman"/>
        </w:rPr>
      </w:pPr>
      <w:r>
        <w:rPr>
          <w:rFonts w:eastAsia="Times New Roman"/>
        </w:rPr>
        <w:pict>
          <v:rect id="_x0000_i1030" style="width:0;height:1.5pt" o:hralign="center" o:hrstd="t" o:hr="t" fillcolor="#a0a0a0" stroked="f"/>
        </w:pict>
      </w:r>
    </w:p>
    <w:p w:rsidR="00000000" w:rsidRDefault="000242E9">
      <w:pPr>
        <w:jc w:val="both"/>
        <w:divId w:val="931858788"/>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931858788"/>
        <w:rPr>
          <w:rFonts w:eastAsia="Times New Roman"/>
        </w:rPr>
      </w:pPr>
    </w:p>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divId w:val="1464537180"/>
        <w:rPr>
          <w:rFonts w:eastAsia="Times New Roman"/>
        </w:rPr>
      </w:pPr>
      <w:r>
        <w:rPr>
          <w:rFonts w:eastAsia="Times New Roman"/>
          <w:b/>
          <w:bCs/>
          <w:color w:val="000000"/>
          <w:sz w:val="20"/>
          <w:szCs w:val="20"/>
        </w:rPr>
        <w:t>CONDENSED CONSOLIDATED STATEMENTS OF STOCKHOLDERS' EQUITY</w:t>
      </w:r>
    </w:p>
    <w:p w:rsidR="00000000" w:rsidRDefault="000242E9">
      <w:pPr>
        <w:jc w:val="center"/>
        <w:divId w:val="913247005"/>
        <w:rPr>
          <w:rFonts w:eastAsia="Times New Roman"/>
        </w:rPr>
      </w:pPr>
      <w:r>
        <w:rPr>
          <w:rFonts w:eastAsia="Times New Roman"/>
          <w:b/>
          <w:bCs/>
          <w:color w:val="000000"/>
          <w:sz w:val="16"/>
          <w:szCs w:val="16"/>
        </w:rPr>
        <w:t>(Unaudited)</w:t>
      </w:r>
    </w:p>
    <w:p w:rsidR="00000000" w:rsidRDefault="000242E9">
      <w:pPr>
        <w:jc w:val="center"/>
        <w:rPr>
          <w:rFonts w:eastAsia="Times New Roman"/>
        </w:rPr>
      </w:pPr>
      <w:r>
        <w:rPr>
          <w:rFonts w:eastAsia="Times New Roman"/>
          <w:b/>
          <w:bCs/>
          <w:color w:val="000000"/>
          <w:sz w:val="16"/>
          <w:szCs w:val="16"/>
        </w:rPr>
        <w:t> (In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081"/>
        <w:gridCol w:w="38"/>
        <w:gridCol w:w="90"/>
        <w:gridCol w:w="785"/>
        <w:gridCol w:w="37"/>
        <w:gridCol w:w="36"/>
        <w:gridCol w:w="36"/>
        <w:gridCol w:w="36"/>
        <w:gridCol w:w="111"/>
        <w:gridCol w:w="534"/>
        <w:gridCol w:w="36"/>
        <w:gridCol w:w="36"/>
        <w:gridCol w:w="36"/>
        <w:gridCol w:w="36"/>
        <w:gridCol w:w="110"/>
        <w:gridCol w:w="765"/>
        <w:gridCol w:w="36"/>
        <w:gridCol w:w="36"/>
        <w:gridCol w:w="36"/>
        <w:gridCol w:w="36"/>
        <w:gridCol w:w="111"/>
        <w:gridCol w:w="998"/>
        <w:gridCol w:w="36"/>
        <w:gridCol w:w="36"/>
        <w:gridCol w:w="36"/>
        <w:gridCol w:w="36"/>
        <w:gridCol w:w="110"/>
        <w:gridCol w:w="840"/>
        <w:gridCol w:w="36"/>
        <w:gridCol w:w="36"/>
        <w:gridCol w:w="36"/>
        <w:gridCol w:w="36"/>
        <w:gridCol w:w="110"/>
        <w:gridCol w:w="705"/>
        <w:gridCol w:w="36"/>
        <w:gridCol w:w="36"/>
        <w:gridCol w:w="36"/>
        <w:gridCol w:w="36"/>
        <w:gridCol w:w="111"/>
        <w:gridCol w:w="866"/>
        <w:gridCol w:w="36"/>
      </w:tblGrid>
      <w:tr w:rsidR="00000000">
        <w:trPr>
          <w:divId w:val="599995948"/>
          <w:jc w:val="center"/>
        </w:trPr>
        <w:tc>
          <w:tcPr>
            <w:tcW w:w="50" w:type="pct"/>
            <w:vAlign w:val="center"/>
            <w:hideMark/>
          </w:tcPr>
          <w:p w:rsidR="00000000" w:rsidRDefault="000242E9">
            <w:pPr>
              <w:jc w:val="center"/>
              <w:rPr>
                <w:rFonts w:eastAsia="Times New Roman"/>
              </w:rPr>
            </w:pPr>
          </w:p>
        </w:tc>
        <w:tc>
          <w:tcPr>
            <w:tcW w:w="126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50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599995948"/>
          <w:trHeight w:val="240"/>
          <w:jc w:val="center"/>
        </w:trPr>
        <w:tc>
          <w:tcPr>
            <w:tcW w:w="0" w:type="auto"/>
            <w:gridSpan w:val="3"/>
            <w:vMerge w:val="restart"/>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599995948"/>
          <w:trHeight w:val="460"/>
          <w:jc w:val="center"/>
        </w:trPr>
        <w:tc>
          <w:tcPr>
            <w:tcW w:w="0" w:type="auto"/>
            <w:gridSpan w:val="3"/>
            <w:vMerge/>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242E9">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157,384 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(15,597)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March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70,206,917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1,611,902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(15,206)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(1,121,321)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245,461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659,244 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June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70,865,075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1,615,284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(13,642)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(1,131,722)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240,007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(11,121)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(11,121)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Exercise of Common Stock Options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75,000 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374,952 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(2,683)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99995948"/>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599995948"/>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September 30,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71,312,344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1,617,602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(10,892)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(1,142,843)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233,954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divId w:val="1042437039"/>
        <w:rPr>
          <w:rFonts w:eastAsia="Times New Roman"/>
        </w:rPr>
      </w:pPr>
      <w:r>
        <w:rPr>
          <w:rFonts w:eastAsia="Times New Roman"/>
          <w:color w:val="000000"/>
          <w:sz w:val="20"/>
          <w:szCs w:val="20"/>
        </w:rPr>
        <w:t>4</w:t>
      </w:r>
    </w:p>
    <w:p w:rsidR="00000000" w:rsidRDefault="000242E9">
      <w:pPr>
        <w:rPr>
          <w:rFonts w:eastAsia="Times New Roman"/>
        </w:rPr>
      </w:pPr>
      <w:r>
        <w:rPr>
          <w:rFonts w:eastAsia="Times New Roman"/>
        </w:rPr>
        <w:pict>
          <v:rect id="_x0000_i1031" style="width:0;height:1.5pt" o:hralign="center" o:hrstd="t" o:hr="t" fillcolor="#a0a0a0" stroked="f"/>
        </w:pict>
      </w:r>
    </w:p>
    <w:p w:rsidR="00000000" w:rsidRDefault="000242E9">
      <w:pPr>
        <w:jc w:val="both"/>
        <w:divId w:val="384109202"/>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38410920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997"/>
        <w:gridCol w:w="38"/>
        <w:gridCol w:w="90"/>
        <w:gridCol w:w="785"/>
        <w:gridCol w:w="37"/>
        <w:gridCol w:w="36"/>
        <w:gridCol w:w="36"/>
        <w:gridCol w:w="36"/>
        <w:gridCol w:w="111"/>
        <w:gridCol w:w="534"/>
        <w:gridCol w:w="36"/>
        <w:gridCol w:w="36"/>
        <w:gridCol w:w="36"/>
        <w:gridCol w:w="36"/>
        <w:gridCol w:w="110"/>
        <w:gridCol w:w="765"/>
        <w:gridCol w:w="36"/>
        <w:gridCol w:w="36"/>
        <w:gridCol w:w="36"/>
        <w:gridCol w:w="36"/>
        <w:gridCol w:w="36"/>
        <w:gridCol w:w="36"/>
        <w:gridCol w:w="36"/>
        <w:gridCol w:w="111"/>
        <w:gridCol w:w="998"/>
        <w:gridCol w:w="36"/>
        <w:gridCol w:w="36"/>
        <w:gridCol w:w="36"/>
        <w:gridCol w:w="36"/>
        <w:gridCol w:w="110"/>
        <w:gridCol w:w="840"/>
        <w:gridCol w:w="36"/>
        <w:gridCol w:w="36"/>
        <w:gridCol w:w="36"/>
        <w:gridCol w:w="36"/>
        <w:gridCol w:w="110"/>
        <w:gridCol w:w="705"/>
        <w:gridCol w:w="36"/>
        <w:gridCol w:w="36"/>
        <w:gridCol w:w="36"/>
        <w:gridCol w:w="36"/>
        <w:gridCol w:w="111"/>
        <w:gridCol w:w="866"/>
        <w:gridCol w:w="36"/>
      </w:tblGrid>
      <w:tr w:rsidR="00000000">
        <w:trPr>
          <w:divId w:val="1739473947"/>
          <w:jc w:val="center"/>
        </w:trPr>
        <w:tc>
          <w:tcPr>
            <w:tcW w:w="50" w:type="pct"/>
            <w:vAlign w:val="center"/>
            <w:hideMark/>
          </w:tcPr>
          <w:p w:rsidR="00000000" w:rsidRDefault="000242E9">
            <w:pPr>
              <w:jc w:val="both"/>
              <w:rPr>
                <w:rFonts w:eastAsia="Times New Roman"/>
              </w:rPr>
            </w:pPr>
          </w:p>
        </w:tc>
        <w:tc>
          <w:tcPr>
            <w:tcW w:w="126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50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739473947"/>
          <w:trHeight w:val="240"/>
          <w:jc w:val="center"/>
        </w:trPr>
        <w:tc>
          <w:tcPr>
            <w:tcW w:w="0" w:type="auto"/>
            <w:gridSpan w:val="3"/>
            <w:vMerge w:val="restart"/>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r>
            <w:r>
              <w:rPr>
                <w:rFonts w:eastAsia="Times New Roman"/>
                <w:b/>
                <w:bCs/>
                <w:color w:val="000000"/>
                <w:sz w:val="16"/>
                <w:szCs w:val="16"/>
              </w:rP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739473947"/>
          <w:trHeight w:val="460"/>
          <w:jc w:val="center"/>
        </w:trPr>
        <w:tc>
          <w:tcPr>
            <w:tcW w:w="0" w:type="auto"/>
            <w:gridSpan w:val="3"/>
            <w:vMerge/>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c>
          <w:tcPr>
            <w:tcW w:w="0" w:type="auto"/>
            <w:gridSpan w:val="3"/>
            <w:vMerge/>
            <w:vAlign w:val="center"/>
            <w:hideMark/>
          </w:tcPr>
          <w:p w:rsidR="00000000" w:rsidRDefault="000242E9">
            <w:pPr>
              <w:rPr>
                <w:rFonts w:eastAsia="Times New Roman"/>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242E9">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59,389,830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1,561,208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(10,621)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(769,095)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551,567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Adoption of ASC 84</w:t>
            </w:r>
            <w:r>
              <w:rPr>
                <w:rFonts w:eastAsia="Times New Roman"/>
                <w:color w:val="000000"/>
                <w:sz w:val="18"/>
                <w:szCs w:val="18"/>
              </w:rPr>
              <w:t>2</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(27,514)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(27,514)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68,259 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552,651 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(52,853)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(1,138)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(1,138)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5,888 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5,888 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March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59,957,887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1,571,759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(11,242)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(796,655)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533,938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(279,533)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(279,533)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Issuance of common stock in connection with CVI Warrants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2,728,513 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7,575 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7,578 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warrants exercised</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323,448 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Interest paid in Common Stock</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243,261 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5,134 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5,134 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46,078 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(7,218)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2,354 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2,354 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June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63,291,969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1,586,750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(10,565)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(1,076,188)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270,076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(10,559)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(10,559)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(2,950)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(2,950)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Adjustment to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Interest paid in Common Stock</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856,289 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6,119 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6,120 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stock units vested</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54,899 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Common stock received from tax withholding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(12,586)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394739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17394739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September 30, 2019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64,190,571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1,595,402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(13,515)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(1,086,747)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265,220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divId w:val="1600217966"/>
        <w:rPr>
          <w:rFonts w:eastAsia="Times New Roman"/>
        </w:rPr>
      </w:pPr>
      <w:r>
        <w:rPr>
          <w:rFonts w:eastAsia="Times New Roman"/>
          <w:color w:val="000000"/>
          <w:sz w:val="18"/>
          <w:szCs w:val="18"/>
        </w:rPr>
        <w:t>See accompanying Notes to Condensed Consolidated Financial Statements.</w:t>
      </w:r>
    </w:p>
    <w:p w:rsidR="00000000" w:rsidRDefault="000242E9">
      <w:pPr>
        <w:jc w:val="center"/>
        <w:divId w:val="190344664"/>
        <w:rPr>
          <w:rFonts w:eastAsia="Times New Roman"/>
        </w:rPr>
      </w:pPr>
      <w:r>
        <w:rPr>
          <w:rFonts w:eastAsia="Times New Roman"/>
          <w:color w:val="000000"/>
          <w:sz w:val="20"/>
          <w:szCs w:val="20"/>
        </w:rPr>
        <w:t>5</w:t>
      </w:r>
    </w:p>
    <w:p w:rsidR="00000000" w:rsidRDefault="000242E9">
      <w:pPr>
        <w:rPr>
          <w:rFonts w:eastAsia="Times New Roman"/>
        </w:rPr>
      </w:pPr>
      <w:r>
        <w:rPr>
          <w:rFonts w:eastAsia="Times New Roman"/>
        </w:rPr>
        <w:pict>
          <v:rect id="_x0000_i1032" style="width:0;height:1.5pt" o:hralign="center" o:hrstd="t" o:hr="t" fillcolor="#a0a0a0" stroked="f"/>
        </w:pict>
      </w:r>
    </w:p>
    <w:p w:rsidR="00000000" w:rsidRDefault="000242E9">
      <w:pPr>
        <w:jc w:val="both"/>
        <w:divId w:val="1937056255"/>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937056255"/>
        <w:rPr>
          <w:rFonts w:eastAsia="Times New Roman"/>
        </w:rPr>
      </w:pPr>
    </w:p>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divId w:val="1397703446"/>
        <w:rPr>
          <w:rFonts w:eastAsia="Times New Roman"/>
        </w:rPr>
      </w:pPr>
      <w:r>
        <w:rPr>
          <w:rFonts w:eastAsia="Times New Roman"/>
          <w:b/>
          <w:bCs/>
          <w:color w:val="000000"/>
          <w:sz w:val="20"/>
          <w:szCs w:val="20"/>
        </w:rPr>
        <w:t>CONDENSED CONSOLIDATED STATEMENTS OF CASH FLOWS</w:t>
      </w:r>
    </w:p>
    <w:p w:rsidR="00000000" w:rsidRDefault="000242E9">
      <w:pPr>
        <w:jc w:val="center"/>
        <w:divId w:val="1108890346"/>
        <w:rPr>
          <w:rFonts w:eastAsia="Times New Roman"/>
        </w:rPr>
      </w:pPr>
      <w:r>
        <w:rPr>
          <w:rFonts w:eastAsia="Times New Roman"/>
          <w:b/>
          <w:bCs/>
          <w:color w:val="000000"/>
          <w:sz w:val="16"/>
          <w:szCs w:val="16"/>
        </w:rPr>
        <w:t>(Unaudited)</w:t>
      </w:r>
    </w:p>
    <w:p w:rsidR="00000000" w:rsidRDefault="000242E9">
      <w:pPr>
        <w:jc w:val="center"/>
        <w:rPr>
          <w:rFonts w:eastAsia="Times New Roman"/>
        </w:rPr>
      </w:pPr>
      <w:r>
        <w:rPr>
          <w:rFonts w:eastAsia="Times New Roman"/>
          <w:b/>
          <w:bCs/>
          <w:color w:val="000000"/>
          <w:sz w:val="16"/>
          <w:szCs w:val="16"/>
        </w:rPr>
        <w:t>(In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97"/>
        <w:gridCol w:w="39"/>
        <w:gridCol w:w="36"/>
        <w:gridCol w:w="36"/>
        <w:gridCol w:w="36"/>
        <w:gridCol w:w="110"/>
        <w:gridCol w:w="961"/>
        <w:gridCol w:w="36"/>
        <w:gridCol w:w="36"/>
        <w:gridCol w:w="36"/>
        <w:gridCol w:w="36"/>
        <w:gridCol w:w="110"/>
        <w:gridCol w:w="961"/>
        <w:gridCol w:w="36"/>
      </w:tblGrid>
      <w:tr w:rsidR="00000000">
        <w:trPr>
          <w:divId w:val="79762287"/>
          <w:jc w:val="center"/>
        </w:trPr>
        <w:tc>
          <w:tcPr>
            <w:tcW w:w="50" w:type="pct"/>
            <w:vAlign w:val="center"/>
            <w:hideMark/>
          </w:tcPr>
          <w:p w:rsidR="00000000" w:rsidRDefault="000242E9">
            <w:pPr>
              <w:jc w:val="center"/>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79762287"/>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79762287"/>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(34,706)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(317,606)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Depreciation</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10,317 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9,447 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Non-cash operating lease expense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4,195 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3,987 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expense of finance leases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Bad debt expense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goodwill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intangible asset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7,528 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14,133 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(3,951)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financing derivatives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(6,887)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warrants liability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(5,765)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investment in equity securities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Non-cash interest expense on senior secured convertible notes (related parties)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17,374 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Accretion of debt discount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5,550 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4,607 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deferred financing costs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FFFFFF"/>
            <w:tcMar>
              <w:top w:w="30" w:type="dxa"/>
              <w:left w:w="24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CCEEFF"/>
            <w:tcMar>
              <w:top w:w="30" w:type="dxa"/>
              <w:left w:w="465"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10,675 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46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(2,918)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2,115 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465"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(12,380)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6,913 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465"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Contract liabilities and customer advances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(5,180)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(11,748)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46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(4,784)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(6,034)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2035036451"/>
              <w:rPr>
                <w:rFonts w:eastAsia="Times New Roman"/>
              </w:rPr>
            </w:pPr>
            <w:r>
              <w:rPr>
                <w:rFonts w:eastAsia="Times New Roman"/>
                <w:color w:val="000000"/>
                <w:sz w:val="18"/>
                <w:szCs w:val="18"/>
              </w:rPr>
              <w:t>Proceeds from sale of investment in equity securitie</w:t>
            </w:r>
            <w:r>
              <w:rPr>
                <w:rFonts w:eastAsia="Times New Roman"/>
                <w:color w:val="000000"/>
                <w:sz w:val="18"/>
                <w:szCs w:val="18"/>
              </w:rPr>
              <w:t>s</w:t>
            </w:r>
            <w:r>
              <w:rPr>
                <w:rFonts w:eastAsia="Times New Roman"/>
                <w:color w:val="000000"/>
                <w:sz w:val="12"/>
                <w:szCs w:val="12"/>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3,776 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(2,810)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Capitalized internal-use software costs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(11,428)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(8,800)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(7,834)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Proceeds from private placement, net of issuance costs paid</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19,769 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Proceeds from sale-leaseback financing transaction</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4,252 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Proceeds from the 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(1,227)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Principal payments on finance leases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(1,284)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(2,080)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Principal payments on software license arrangements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(1,997)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(decrease)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50,198 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9762287"/>
          <w:trHeight w:val="240"/>
          <w:jc w:val="center"/>
        </w:trPr>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trHeight w:val="24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trHeight w:val="24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trHeight w:val="24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79762287"/>
          <w:trHeight w:val="24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bl>
    <w:p w:rsidR="00000000" w:rsidRDefault="000242E9">
      <w:pPr>
        <w:jc w:val="center"/>
        <w:divId w:val="259991346"/>
        <w:rPr>
          <w:rFonts w:eastAsia="Times New Roman"/>
        </w:rPr>
      </w:pPr>
      <w:r>
        <w:rPr>
          <w:rFonts w:eastAsia="Times New Roman"/>
          <w:color w:val="000000"/>
          <w:sz w:val="20"/>
          <w:szCs w:val="20"/>
        </w:rPr>
        <w:t>6</w:t>
      </w:r>
    </w:p>
    <w:p w:rsidR="00000000" w:rsidRDefault="000242E9">
      <w:pPr>
        <w:rPr>
          <w:rFonts w:eastAsia="Times New Roman"/>
        </w:rPr>
      </w:pPr>
      <w:r>
        <w:rPr>
          <w:rFonts w:eastAsia="Times New Roman"/>
        </w:rPr>
        <w:pict>
          <v:rect id="_x0000_i1033" style="width:0;height:1.5pt" o:hralign="center" o:hrstd="t" o:hr="t" fillcolor="#a0a0a0" stroked="f"/>
        </w:pict>
      </w:r>
    </w:p>
    <w:p w:rsidR="00000000" w:rsidRDefault="000242E9">
      <w:pPr>
        <w:jc w:val="both"/>
        <w:divId w:val="430400628"/>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43040062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799"/>
        <w:gridCol w:w="38"/>
        <w:gridCol w:w="36"/>
        <w:gridCol w:w="36"/>
        <w:gridCol w:w="36"/>
        <w:gridCol w:w="110"/>
        <w:gridCol w:w="961"/>
        <w:gridCol w:w="36"/>
        <w:gridCol w:w="36"/>
        <w:gridCol w:w="36"/>
        <w:gridCol w:w="36"/>
        <w:gridCol w:w="110"/>
        <w:gridCol w:w="961"/>
        <w:gridCol w:w="36"/>
      </w:tblGrid>
      <w:tr w:rsidR="00000000">
        <w:trPr>
          <w:divId w:val="1970747933"/>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70747933"/>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 September 30,</w:t>
            </w:r>
          </w:p>
        </w:tc>
      </w:tr>
      <w:tr w:rsidR="00000000">
        <w:trPr>
          <w:divId w:val="1970747933"/>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970747933"/>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19,613 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4,651 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trHeight w:val="240"/>
          <w:jc w:val="center"/>
        </w:trPr>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70747933"/>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970747933"/>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97074793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Supplemental cash flow disclosures: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7074793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781026030"/>
              <w:rPr>
                <w:rFonts w:eastAsia="Times New Roman"/>
              </w:rPr>
            </w:pPr>
            <w:r>
              <w:rPr>
                <w:rFonts w:eastAsia="Times New Roman"/>
                <w:color w:val="000000"/>
                <w:sz w:val="18"/>
                <w:szCs w:val="18"/>
              </w:rPr>
              <w:t>Interest paid ($18,360 and $3,046 attributable to related parties, respectively)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20,310 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3,825 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Income taxes paid, net of refunds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7074793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70747933"/>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Right-of-use assets obtained in exchange for new finance lease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3,487 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Right-of-use assets obtained in exchange for new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70747933"/>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Leasehold improvements acquired through lease incentives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1,850 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70747933"/>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Interest paid in Common Stock (related parties)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11,254 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970747933"/>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Fair value of warrants issued in private placement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10,798 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rPr>
          <w:rFonts w:eastAsia="Times New Roman"/>
        </w:rPr>
      </w:pPr>
      <w:r>
        <w:rPr>
          <w:rFonts w:eastAsia="Times New Roman"/>
          <w:color w:val="000000"/>
          <w:sz w:val="18"/>
          <w:szCs w:val="18"/>
        </w:rPr>
        <w:t>See accompanying Notes to Condensed Consolidated Financial Statements.</w:t>
      </w:r>
    </w:p>
    <w:p w:rsidR="00000000" w:rsidRDefault="000242E9">
      <w:pPr>
        <w:jc w:val="center"/>
        <w:divId w:val="2088187013"/>
        <w:rPr>
          <w:rFonts w:eastAsia="Times New Roman"/>
        </w:rPr>
      </w:pPr>
      <w:r>
        <w:rPr>
          <w:rFonts w:eastAsia="Times New Roman"/>
          <w:color w:val="000000"/>
          <w:sz w:val="20"/>
          <w:szCs w:val="20"/>
        </w:rPr>
        <w:t>7</w:t>
      </w:r>
    </w:p>
    <w:p w:rsidR="00000000" w:rsidRDefault="000242E9">
      <w:pPr>
        <w:rPr>
          <w:rFonts w:eastAsia="Times New Roman"/>
        </w:rPr>
      </w:pPr>
      <w:r>
        <w:rPr>
          <w:rFonts w:eastAsia="Times New Roman"/>
        </w:rPr>
        <w:pict>
          <v:rect id="_x0000_i1034" style="width:0;height:1.5pt" o:hralign="center" o:hrstd="t" o:hr="t" fillcolor="#a0a0a0" stroked="f"/>
        </w:pict>
      </w:r>
    </w:p>
    <w:p w:rsidR="00000000" w:rsidRDefault="000242E9">
      <w:pPr>
        <w:jc w:val="both"/>
        <w:divId w:val="150643478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506434783"/>
        <w:rPr>
          <w:rFonts w:eastAsia="Times New Roman"/>
        </w:rPr>
      </w:pPr>
    </w:p>
    <w:p w:rsidR="00000000" w:rsidRDefault="000242E9">
      <w:pPr>
        <w:jc w:val="center"/>
        <w:rPr>
          <w:rFonts w:eastAsia="Times New Roman"/>
        </w:rPr>
      </w:pPr>
      <w:r>
        <w:rPr>
          <w:rFonts w:eastAsia="Times New Roman"/>
          <w:b/>
          <w:bCs/>
          <w:color w:val="000000"/>
          <w:sz w:val="20"/>
          <w:szCs w:val="20"/>
        </w:rPr>
        <w:t>COMSCORE, INC.</w:t>
      </w:r>
    </w:p>
    <w:p w:rsidR="00000000" w:rsidRDefault="000242E9">
      <w:pPr>
        <w:jc w:val="center"/>
        <w:divId w:val="736050571"/>
        <w:rPr>
          <w:rFonts w:eastAsia="Times New Roman"/>
        </w:rPr>
      </w:pPr>
      <w:r>
        <w:rPr>
          <w:rFonts w:eastAsia="Times New Roman"/>
          <w:b/>
          <w:bCs/>
          <w:color w:val="000000"/>
          <w:sz w:val="20"/>
          <w:szCs w:val="20"/>
        </w:rPr>
        <w:t>NOTES TO CONDENSED CONSOLIDATED FINANCIAL STATEMENTS</w:t>
      </w:r>
    </w:p>
    <w:p w:rsidR="00000000" w:rsidRDefault="000242E9">
      <w:pPr>
        <w:jc w:val="center"/>
        <w:rPr>
          <w:rFonts w:eastAsia="Times New Roman"/>
        </w:rPr>
      </w:pPr>
    </w:p>
    <w:p w:rsidR="00000000" w:rsidRDefault="000242E9">
      <w:pPr>
        <w:ind w:hanging="360"/>
        <w:jc w:val="both"/>
        <w:divId w:val="144902363"/>
        <w:rPr>
          <w:rFonts w:eastAsia="Times New Roman"/>
        </w:rPr>
      </w:pPr>
      <w:r>
        <w:rPr>
          <w:rFonts w:eastAsia="Times New Roman"/>
          <w:b/>
          <w:bCs/>
          <w:color w:val="000000"/>
          <w:sz w:val="20"/>
          <w:szCs w:val="20"/>
        </w:rPr>
        <w:t>1.Organization</w:t>
      </w:r>
    </w:p>
    <w:p w:rsidR="00000000" w:rsidRDefault="000242E9">
      <w:pPr>
        <w:jc w:val="both"/>
        <w:divId w:val="1249266369"/>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eastAsia="Times New Roman"/>
          <w:color w:val="000000"/>
          <w:sz w:val="20"/>
          <w:szCs w:val="20"/>
        </w:rPr>
        <w:t xml:space="preserve">a platforms. </w:t>
      </w:r>
    </w:p>
    <w:p w:rsidR="00000000" w:rsidRDefault="000242E9">
      <w:pPr>
        <w:jc w:val="both"/>
        <w:divId w:val="1996837766"/>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eastAsia="Times New Roman"/>
          <w:color w:val="000000"/>
          <w:sz w:val="20"/>
          <w:szCs w:val="20"/>
        </w:rPr>
        <w:t>e Company's CODM is its principal executive officer, who decides how to allocate resources and assess performance. The Company has one operating segment. A single management team reports to the CODM, who manages the entire business. The Company's CODM revi</w:t>
      </w:r>
      <w:r>
        <w:rPr>
          <w:rFonts w:eastAsia="Times New Roman"/>
          <w:color w:val="000000"/>
          <w:sz w:val="20"/>
          <w:szCs w:val="20"/>
        </w:rPr>
        <w:t xml:space="preserve">ews consolidated results of operations to make decisions, allocate resources and assess performance and does not evaluate the profit or loss from any separate geography or product line. </w:t>
      </w:r>
    </w:p>
    <w:p w:rsidR="00000000" w:rsidRDefault="000242E9">
      <w:pPr>
        <w:jc w:val="both"/>
        <w:divId w:val="1766221186"/>
        <w:rPr>
          <w:rFonts w:eastAsia="Times New Roman"/>
        </w:rPr>
      </w:pPr>
      <w:r>
        <w:rPr>
          <w:rFonts w:eastAsia="Times New Roman"/>
          <w:b/>
          <w:bCs/>
          <w:i/>
          <w:iCs/>
          <w:color w:val="000000"/>
          <w:sz w:val="20"/>
          <w:szCs w:val="20"/>
        </w:rPr>
        <w:t xml:space="preserve">Uses and Sources of Liquidity and Management's Plans </w:t>
      </w:r>
    </w:p>
    <w:p w:rsidR="00000000" w:rsidRDefault="000242E9">
      <w:pPr>
        <w:jc w:val="both"/>
        <w:divId w:val="1203639916"/>
        <w:rPr>
          <w:rFonts w:eastAsia="Times New Roman"/>
        </w:rPr>
      </w:pPr>
      <w:r>
        <w:rPr>
          <w:rFonts w:eastAsia="Times New Roman"/>
          <w:color w:val="000000"/>
          <w:sz w:val="20"/>
          <w:szCs w:val="20"/>
        </w:rPr>
        <w:t>The Company's p</w:t>
      </w:r>
      <w:r>
        <w:rPr>
          <w:rFonts w:eastAsia="Times New Roman"/>
          <w:color w:val="000000"/>
          <w:sz w:val="20"/>
          <w:szCs w:val="20"/>
        </w:rPr>
        <w:t>rimary need for liquidity is to fund working capital requirements and capital expenditures of its business. The Company has secured the following long-term financing in order to increase its available working capital:</w:t>
      </w:r>
    </w:p>
    <w:p w:rsidR="00000000" w:rsidRDefault="000242E9">
      <w:pPr>
        <w:ind w:hanging="360"/>
        <w:jc w:val="both"/>
        <w:divId w:val="1199391701"/>
        <w:rPr>
          <w:rFonts w:eastAsia="Times New Roman"/>
        </w:rPr>
      </w:pPr>
      <w:r>
        <w:rPr>
          <w:rFonts w:eastAsia="Times New Roman"/>
          <w:color w:val="000000"/>
          <w:sz w:val="20"/>
          <w:szCs w:val="20"/>
        </w:rPr>
        <w:t>•During 2018, the Company entered into</w:t>
      </w:r>
      <w:r>
        <w:rPr>
          <w:rFonts w:eastAsia="Times New Roman"/>
          <w:color w:val="000000"/>
          <w:sz w:val="20"/>
          <w:szCs w:val="20"/>
        </w:rPr>
        <w:t xml:space="preserve"> certain agreements with funds affiliated with or managed by Starboard Value LP (collectively, "Starboard"), pursuant to which the Company issued and sold to Starboard a total of $204.0 million in senior secured convertible notes as well as warrants to pur</w:t>
      </w:r>
      <w:r>
        <w:rPr>
          <w:rFonts w:eastAsia="Times New Roman"/>
          <w:color w:val="000000"/>
          <w:sz w:val="20"/>
          <w:szCs w:val="20"/>
        </w:rPr>
        <w:t xml:space="preserve">chase shares of the Company's common stock, par value $0.001 per share (the "Common Stock") in exchange for $100.0 million in cash and 4,000,000 shares of Common Stock. For additional information, refer to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 xml:space="preserve">. </w:t>
      </w:r>
    </w:p>
    <w:p w:rsidR="00000000" w:rsidRDefault="000242E9">
      <w:pPr>
        <w:ind w:hanging="360"/>
        <w:jc w:val="both"/>
        <w:divId w:val="1676566404"/>
        <w:rPr>
          <w:rFonts w:eastAsia="Times New Roman"/>
        </w:rPr>
      </w:pPr>
      <w:r>
        <w:rPr>
          <w:rFonts w:eastAsia="Times New Roman"/>
          <w:color w:val="000000"/>
          <w:sz w:val="20"/>
          <w:szCs w:val="20"/>
        </w:rPr>
        <w:t>•On June 26, 2019, the Company issued 2,728,513 shares of Common Stock and four series of warrants in a private placement to CVI Investments, Inc. ("CVI") in exchange for gross cash proceeds of $20.0 million. On Octobe</w:t>
      </w:r>
      <w:r>
        <w:rPr>
          <w:rFonts w:eastAsia="Times New Roman"/>
          <w:color w:val="000000"/>
          <w:sz w:val="20"/>
          <w:szCs w:val="20"/>
        </w:rPr>
        <w:t xml:space="preserve">r 14, 2019, the Company issued 2,728,513 shares of Common Stock to CVI upon exercise by CVI of the Series C warrant. For additional information, refer to </w:t>
      </w:r>
      <w:hyperlink w:anchor="if7a518a588154f7ab52f3429da641a28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 xml:space="preserve">Stockholders' Equity. </w:t>
      </w:r>
    </w:p>
    <w:p w:rsidR="00000000" w:rsidRDefault="000242E9">
      <w:pPr>
        <w:ind w:hanging="360"/>
        <w:jc w:val="both"/>
        <w:divId w:val="34812175"/>
        <w:rPr>
          <w:rFonts w:eastAsia="Times New Roman"/>
        </w:rPr>
      </w:pPr>
      <w:r>
        <w:rPr>
          <w:rFonts w:eastAsia="Times New Roman"/>
          <w:i/>
          <w:iCs/>
          <w:color w:val="000000"/>
          <w:sz w:val="20"/>
          <w:szCs w:val="20"/>
        </w:rPr>
        <w:t>•</w:t>
      </w:r>
      <w:r>
        <w:rPr>
          <w:rFonts w:eastAsia="Times New Roman"/>
          <w:color w:val="000000"/>
          <w:sz w:val="20"/>
          <w:szCs w:val="20"/>
        </w:rPr>
        <w:t>On Dece</w:t>
      </w:r>
      <w:r>
        <w:rPr>
          <w:rFonts w:eastAsia="Times New Roman"/>
          <w:color w:val="000000"/>
          <w:sz w:val="20"/>
          <w:szCs w:val="20"/>
        </w:rPr>
        <w:t xml:space="preserve">mber 31, 2019, the Company's wholly owned subsidiary, Rentrak B.V., entered into an agreement with several third parties (collectively the "Noteholder") for a secured term note (the "Secured Term Note") in exchange for gross proceeds of $13.0 million. The </w:t>
      </w:r>
      <w:r>
        <w:rPr>
          <w:rFonts w:eastAsia="Times New Roman"/>
          <w:color w:val="000000"/>
          <w:sz w:val="20"/>
          <w:szCs w:val="20"/>
        </w:rPr>
        <w:t xml:space="preserve">Secured Term Note matures on December 31, 2021, is cash collateralized, and has an annual interest rate of 9.75% that is payable monthly in arrears. For additional information, refer to </w:t>
      </w:r>
      <w:hyperlink w:anchor="if7a518a588154f7ab52f3429da641a28_52"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Debt.</w:t>
      </w:r>
    </w:p>
    <w:p w:rsidR="00000000" w:rsidRDefault="000242E9">
      <w:pPr>
        <w:jc w:val="both"/>
        <w:divId w:val="643893799"/>
        <w:rPr>
          <w:rFonts w:eastAsia="Times New Roman"/>
        </w:rPr>
      </w:pPr>
      <w:r>
        <w:rPr>
          <w:rFonts w:eastAsia="Times New Roman"/>
          <w:color w:val="000000"/>
          <w:sz w:val="20"/>
          <w:szCs w:val="20"/>
        </w:rPr>
        <w:t>As of September 30, 2020, the Company was in compliance with its covenants under the senior secured convertible notes and the Secured Term Note, inclusive of the Company's restricted cash balances.</w:t>
      </w:r>
    </w:p>
    <w:p w:rsidR="00000000" w:rsidRDefault="000242E9">
      <w:pPr>
        <w:jc w:val="both"/>
        <w:divId w:val="2014215872"/>
        <w:rPr>
          <w:rFonts w:eastAsia="Times New Roman"/>
        </w:rPr>
      </w:pPr>
      <w:r>
        <w:rPr>
          <w:rFonts w:eastAsia="Times New Roman"/>
          <w:color w:val="000000"/>
          <w:sz w:val="20"/>
          <w:szCs w:val="20"/>
        </w:rPr>
        <w:t>The COVID-19 pandemic and related governm</w:t>
      </w:r>
      <w:r>
        <w:rPr>
          <w:rFonts w:eastAsia="Times New Roman"/>
          <w:color w:val="000000"/>
          <w:sz w:val="20"/>
          <w:szCs w:val="20"/>
        </w:rPr>
        <w:t>ent mandates and restrictions have had a significant impact on the media, advertising and entertainment industries in which the Company operates. To date, the COVID-19 pandemic has had some impact on the Company's business, including with respect to the ex</w:t>
      </w:r>
      <w:r>
        <w:rPr>
          <w:rFonts w:eastAsia="Times New Roman"/>
          <w:color w:val="000000"/>
          <w:sz w:val="20"/>
          <w:szCs w:val="20"/>
        </w:rPr>
        <w:t>ecution of new and renewal contracts, the impact of closed movie theaters on the Company's customers, customer payment delays and requests to modify contractual payment terms. These conditions have negatively impacted the Company's liquidity, net loss, and</w:t>
      </w:r>
      <w:r>
        <w:rPr>
          <w:rFonts w:eastAsia="Times New Roman"/>
          <w:color w:val="000000"/>
          <w:sz w:val="20"/>
          <w:szCs w:val="20"/>
        </w:rPr>
        <w:t xml:space="preserve"> cash flows and are expected to continue to have an impact in future periods. In addition, the spread of COVID-19 has led to disruption and volatility in global capital and credit markets, which could impact the Company's ability to access capital resource</w:t>
      </w:r>
      <w:r>
        <w:rPr>
          <w:rFonts w:eastAsia="Times New Roman"/>
          <w:color w:val="000000"/>
          <w:sz w:val="20"/>
          <w:szCs w:val="20"/>
        </w:rPr>
        <w:t>s on terms acceptable to the Company or allowable under applicable financing arrangements, or at all. Liquidity could also be negatively affected by a decrease in demand for the Company's products and services or by additional losses from operations, wheth</w:t>
      </w:r>
      <w:r>
        <w:rPr>
          <w:rFonts w:eastAsia="Times New Roman"/>
          <w:color w:val="000000"/>
          <w:sz w:val="20"/>
          <w:szCs w:val="20"/>
        </w:rPr>
        <w:t xml:space="preserve">er related to the COVID-19 pandemic or otherwise. While the Company has taken, and continues to take, actions to reduce costs and mitigate the impact of COVID-19, these steps may not be successful or adequate to offset declines in cash collections. If the </w:t>
      </w:r>
      <w:r>
        <w:rPr>
          <w:rFonts w:eastAsia="Times New Roman"/>
          <w:color w:val="000000"/>
          <w:sz w:val="20"/>
          <w:szCs w:val="20"/>
        </w:rPr>
        <w:t>Company's efforts to manage costs are not sufficient, or if billings and cash collection efforts are further impacted by the COVID-19 pandemic, the Company may not be able to maintain compliance with the affirmative and negative covenants in its senior sec</w:t>
      </w:r>
      <w:r>
        <w:rPr>
          <w:rFonts w:eastAsia="Times New Roman"/>
          <w:color w:val="000000"/>
          <w:sz w:val="20"/>
          <w:szCs w:val="20"/>
        </w:rPr>
        <w:t>ured convertible notes and Secured Term Note or to meet its financial obligations to vendors or others.</w:t>
      </w:r>
    </w:p>
    <w:p w:rsidR="00000000" w:rsidRDefault="000242E9">
      <w:pPr>
        <w:jc w:val="both"/>
        <w:divId w:val="1128278621"/>
        <w:rPr>
          <w:rFonts w:eastAsia="Times New Roman"/>
        </w:rPr>
      </w:pPr>
      <w:r>
        <w:rPr>
          <w:rFonts w:eastAsia="Times New Roman"/>
          <w:color w:val="000000"/>
          <w:sz w:val="20"/>
          <w:szCs w:val="20"/>
        </w:rPr>
        <w:t>On March 27, 2020, Congress enacted the Coronavirus Aid, Relief and Economic Security Act ("CARES Act"). The CARES Act, among other things, includes tax</w:t>
      </w:r>
      <w:r>
        <w:rPr>
          <w:rFonts w:eastAsia="Times New Roman"/>
          <w:color w:val="000000"/>
          <w:sz w:val="20"/>
          <w:szCs w:val="20"/>
        </w:rPr>
        <w:t xml:space="preserve"> provisions for the deferral of certain employer payroll tax liabilities, refundable employee retention credits, rollbacks of Tax Cuts and Jobs Act ("TCJA") limitations on net operating losses, the acceleration of alternative minimum tax credit refunds, mo</w:t>
      </w:r>
      <w:r>
        <w:rPr>
          <w:rFonts w:eastAsia="Times New Roman"/>
          <w:color w:val="000000"/>
          <w:sz w:val="20"/>
          <w:szCs w:val="20"/>
        </w:rPr>
        <w:t>difications to the net interest deduction limitations and technical corrections to tax depreciation methods for qualified improvement property. The Company began deferring certain payroll taxes in April 2020, as permitted by the CARES Act. In addition, dur</w:t>
      </w:r>
      <w:r>
        <w:rPr>
          <w:rFonts w:eastAsia="Times New Roman"/>
          <w:color w:val="000000"/>
          <w:sz w:val="20"/>
          <w:szCs w:val="20"/>
        </w:rPr>
        <w:t xml:space="preserve">ing the second quarter of 2020 the Company claimed the employee retention credit created by the CARES Act. </w:t>
      </w:r>
    </w:p>
    <w:p w:rsidR="00000000" w:rsidRDefault="000242E9">
      <w:pPr>
        <w:jc w:val="center"/>
        <w:divId w:val="936254121"/>
        <w:rPr>
          <w:rFonts w:eastAsia="Times New Roman"/>
        </w:rPr>
      </w:pPr>
      <w:r>
        <w:rPr>
          <w:rFonts w:eastAsia="Times New Roman"/>
          <w:color w:val="000000"/>
          <w:sz w:val="20"/>
          <w:szCs w:val="20"/>
        </w:rPr>
        <w:t>8</w:t>
      </w:r>
    </w:p>
    <w:p w:rsidR="00000000" w:rsidRDefault="000242E9">
      <w:pPr>
        <w:rPr>
          <w:rFonts w:eastAsia="Times New Roman"/>
        </w:rPr>
      </w:pPr>
      <w:r>
        <w:rPr>
          <w:rFonts w:eastAsia="Times New Roman"/>
        </w:rPr>
        <w:pict>
          <v:rect id="_x0000_i1035" style="width:0;height:1.5pt" o:hralign="center" o:hrstd="t" o:hr="t" fillcolor="#a0a0a0" stroked="f"/>
        </w:pict>
      </w:r>
    </w:p>
    <w:p w:rsidR="00000000" w:rsidRDefault="000242E9">
      <w:pPr>
        <w:jc w:val="both"/>
        <w:divId w:val="208760260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087602601"/>
        <w:rPr>
          <w:rFonts w:eastAsia="Times New Roman"/>
        </w:rPr>
      </w:pPr>
    </w:p>
    <w:p w:rsidR="00000000" w:rsidRDefault="000242E9">
      <w:pPr>
        <w:jc w:val="both"/>
        <w:divId w:val="15931600"/>
        <w:rPr>
          <w:rFonts w:eastAsia="Times New Roman"/>
        </w:rPr>
      </w:pPr>
      <w:r>
        <w:rPr>
          <w:rFonts w:eastAsia="Times New Roman"/>
          <w:color w:val="000000"/>
          <w:sz w:val="20"/>
          <w:szCs w:val="20"/>
        </w:rPr>
        <w:t>The Company continues to evaluat</w:t>
      </w:r>
      <w:r>
        <w:rPr>
          <w:rFonts w:eastAsia="Times New Roman"/>
          <w:color w:val="000000"/>
          <w:sz w:val="20"/>
          <w:szCs w:val="20"/>
        </w:rPr>
        <w:t>e the impact on its business operations and financial results of the CARES Act and additional legislation and government guidance related to the COVID-19 pandemic.</w:t>
      </w:r>
    </w:p>
    <w:p w:rsidR="00000000" w:rsidRDefault="000242E9">
      <w:pPr>
        <w:jc w:val="both"/>
        <w:divId w:val="2105177002"/>
        <w:rPr>
          <w:rFonts w:eastAsia="Times New Roman"/>
        </w:rPr>
      </w:pPr>
      <w:r>
        <w:rPr>
          <w:rFonts w:eastAsia="Times New Roman"/>
          <w:color w:val="000000"/>
          <w:sz w:val="20"/>
          <w:szCs w:val="20"/>
        </w:rPr>
        <w:t>The Company's liquidity could be significantly affected if the Company is unable to maintain</w:t>
      </w:r>
      <w:r>
        <w:rPr>
          <w:rFonts w:eastAsia="Times New Roman"/>
          <w:color w:val="000000"/>
          <w:sz w:val="20"/>
          <w:szCs w:val="20"/>
        </w:rPr>
        <w:t xml:space="preserve"> compliance with the covenants in its senior secured convertible notes and Secured Term Note, including the minimum cash balance requirements described in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 If the Company</w:t>
      </w:r>
      <w:r>
        <w:rPr>
          <w:rFonts w:eastAsia="Times New Roman"/>
          <w:color w:val="000000"/>
          <w:sz w:val="20"/>
          <w:szCs w:val="20"/>
        </w:rPr>
        <w:t xml:space="preserve"> fails to comply with its covenants, it could be required to redeem the senior secured convertible notes and the Secured Term Note at a premium. As of September 30, 2020, there was $217.0 million outstanding under the senior secured convertible notes and t</w:t>
      </w:r>
      <w:r>
        <w:rPr>
          <w:rFonts w:eastAsia="Times New Roman"/>
          <w:color w:val="000000"/>
          <w:sz w:val="20"/>
          <w:szCs w:val="20"/>
        </w:rPr>
        <w:t>he Secured Term Note. The source of funds for any redemption of the notes would be the Company's available cash and other financing, to the extent available. Based on the Company's current plans, including continued cost management and other actions within</w:t>
      </w:r>
      <w:r>
        <w:rPr>
          <w:rFonts w:eastAsia="Times New Roman"/>
          <w:color w:val="000000"/>
          <w:sz w:val="20"/>
          <w:szCs w:val="20"/>
        </w:rPr>
        <w:t xml:space="preserve"> management's control, the Company does not anticipate a breach of these covenants that would result in an event of default under the senior secured convertible notes or the Secured Term Note; however, during the quarter ended June 30, 2020, the holders of</w:t>
      </w:r>
      <w:r>
        <w:rPr>
          <w:rFonts w:eastAsia="Times New Roman"/>
          <w:color w:val="000000"/>
          <w:sz w:val="20"/>
          <w:szCs w:val="20"/>
        </w:rPr>
        <w:t xml:space="preserve"> the senior secured convertible notes questioned the Company's compliance with the minimum cash balance requirements therein. As noted, any breach of covenants under the senior secured convertible notes could have a material impact on the Company's liquidi</w:t>
      </w:r>
      <w:r>
        <w:rPr>
          <w:rFonts w:eastAsia="Times New Roman"/>
          <w:color w:val="000000"/>
          <w:sz w:val="20"/>
          <w:szCs w:val="20"/>
        </w:rPr>
        <w:t>ty.</w:t>
      </w:r>
    </w:p>
    <w:p w:rsidR="00000000" w:rsidRDefault="000242E9">
      <w:pPr>
        <w:jc w:val="both"/>
        <w:divId w:val="1478844127"/>
        <w:rPr>
          <w:rFonts w:eastAsia="Times New Roman"/>
        </w:rPr>
      </w:pPr>
      <w:r>
        <w:rPr>
          <w:rFonts w:eastAsia="Times New Roman"/>
          <w:color w:val="000000"/>
          <w:sz w:val="20"/>
          <w:szCs w:val="20"/>
        </w:rPr>
        <w:t>The Company continues to be focused on maintaining flexibility in terms of sources, amounts, and timing of any potential financing, refinancing or strategic transaction, in order to best position the Company for future success. The Company believes tha</w:t>
      </w:r>
      <w:r>
        <w:rPr>
          <w:rFonts w:eastAsia="Times New Roman"/>
          <w:color w:val="000000"/>
          <w:sz w:val="20"/>
          <w:szCs w:val="20"/>
        </w:rPr>
        <w:t>t its sources of funding, after taking into account the financing transactions described above and the cost-reduction initiatives undertaken by management, will be sufficient to satisfy the Company's estimated liquidity needs and allow the Company to remai</w:t>
      </w:r>
      <w:r>
        <w:rPr>
          <w:rFonts w:eastAsia="Times New Roman"/>
          <w:color w:val="000000"/>
          <w:sz w:val="20"/>
          <w:szCs w:val="20"/>
        </w:rPr>
        <w:t>n in compliance with its covenants under the senior secured convertible notes and the Secured Term Note for at least one year after the date that these financial statements are issued. However, the Company cannot predict with certainty the outcome of its a</w:t>
      </w:r>
      <w:r>
        <w:rPr>
          <w:rFonts w:eastAsia="Times New Roman"/>
          <w:color w:val="000000"/>
          <w:sz w:val="20"/>
          <w:szCs w:val="20"/>
        </w:rPr>
        <w:t>ctions to generate liquidity, including the availability of additional financing, or whether such actions would generate the expected liquidity as currently planned. The Company also cannot predict the duration and magnitude of the COVID-19 pandemic or its</w:t>
      </w:r>
      <w:r>
        <w:rPr>
          <w:rFonts w:eastAsia="Times New Roman"/>
          <w:color w:val="000000"/>
          <w:sz w:val="20"/>
          <w:szCs w:val="20"/>
        </w:rPr>
        <w:t xml:space="preserve"> effects on the Company's business or liquidity or any action that may be taken by the holders of the senior secured convertible notes, as described above.</w:t>
      </w:r>
    </w:p>
    <w:p w:rsidR="00000000" w:rsidRDefault="000242E9">
      <w:pPr>
        <w:jc w:val="both"/>
        <w:divId w:val="1189872778"/>
        <w:rPr>
          <w:rFonts w:eastAsia="Times New Roman"/>
        </w:rPr>
      </w:pPr>
      <w:r>
        <w:rPr>
          <w:rFonts w:eastAsia="Times New Roman"/>
          <w:color w:val="000000"/>
          <w:sz w:val="20"/>
          <w:szCs w:val="20"/>
        </w:rPr>
        <w:t>On November 9, 2020, the Company confirmed that it was in advanced discussions with respect to a rec</w:t>
      </w:r>
      <w:r>
        <w:rPr>
          <w:rFonts w:eastAsia="Times New Roman"/>
          <w:color w:val="000000"/>
          <w:sz w:val="20"/>
          <w:szCs w:val="20"/>
        </w:rPr>
        <w:t>apitalization transaction with an anchor investor. The transaction, if consummated, would result in a significant reduction in the Company's outstanding indebtedness and would provide for enhanced commercial relationships to support the Company's growth in</w:t>
      </w:r>
      <w:r>
        <w:rPr>
          <w:rFonts w:eastAsia="Times New Roman"/>
          <w:color w:val="000000"/>
          <w:sz w:val="20"/>
          <w:szCs w:val="20"/>
        </w:rPr>
        <w:t>itiatives. There can be no assurances regarding the timing of any action or transaction nor that the Company's strategic review process will result in any particular outcome, including the transaction described in this paragraph.</w:t>
      </w:r>
    </w:p>
    <w:p w:rsidR="00000000" w:rsidRDefault="000242E9">
      <w:pPr>
        <w:ind w:hanging="360"/>
        <w:jc w:val="both"/>
        <w:divId w:val="676004527"/>
        <w:rPr>
          <w:rFonts w:eastAsia="Times New Roman"/>
        </w:rPr>
      </w:pPr>
      <w:r>
        <w:rPr>
          <w:rFonts w:eastAsia="Times New Roman"/>
          <w:b/>
          <w:bCs/>
          <w:color w:val="000000"/>
          <w:sz w:val="20"/>
          <w:szCs w:val="20"/>
        </w:rPr>
        <w:t>2.Summary of Significant A</w:t>
      </w:r>
      <w:r>
        <w:rPr>
          <w:rFonts w:eastAsia="Times New Roman"/>
          <w:b/>
          <w:bCs/>
          <w:color w:val="000000"/>
          <w:sz w:val="20"/>
          <w:szCs w:val="20"/>
        </w:rPr>
        <w:t>ccounting Policies</w:t>
      </w:r>
    </w:p>
    <w:p w:rsidR="00000000" w:rsidRDefault="000242E9">
      <w:pPr>
        <w:jc w:val="both"/>
        <w:divId w:val="2112044886"/>
        <w:rPr>
          <w:rFonts w:eastAsia="Times New Roman"/>
        </w:rPr>
      </w:pPr>
      <w:r>
        <w:rPr>
          <w:rFonts w:eastAsia="Times New Roman"/>
          <w:b/>
          <w:bCs/>
          <w:i/>
          <w:iCs/>
          <w:color w:val="000000"/>
          <w:sz w:val="20"/>
          <w:szCs w:val="20"/>
        </w:rPr>
        <w:t>Basis of Presentation and Consolidation</w:t>
      </w:r>
    </w:p>
    <w:p w:rsidR="00000000" w:rsidRDefault="000242E9">
      <w:pPr>
        <w:jc w:val="both"/>
        <w:divId w:val="1414356852"/>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 balances a</w:t>
      </w:r>
      <w:r>
        <w:rPr>
          <w:rFonts w:eastAsia="Times New Roman"/>
          <w:color w:val="000000"/>
          <w:sz w:val="20"/>
          <w:szCs w:val="20"/>
        </w:rPr>
        <w:t>re eliminated upon consolidation.</w:t>
      </w:r>
    </w:p>
    <w:p w:rsidR="00000000" w:rsidRDefault="000242E9">
      <w:pPr>
        <w:jc w:val="both"/>
        <w:divId w:val="2037656725"/>
        <w:rPr>
          <w:rFonts w:eastAsia="Times New Roman"/>
        </w:rPr>
      </w:pPr>
      <w:r>
        <w:rPr>
          <w:rFonts w:eastAsia="Times New Roman"/>
          <w:b/>
          <w:bCs/>
          <w:i/>
          <w:iCs/>
          <w:color w:val="000000"/>
          <w:sz w:val="20"/>
          <w:szCs w:val="20"/>
        </w:rPr>
        <w:t>Reclassification</w:t>
      </w:r>
    </w:p>
    <w:p w:rsidR="00000000" w:rsidRDefault="000242E9">
      <w:pPr>
        <w:jc w:val="both"/>
        <w:divId w:val="1848135646"/>
        <w:rPr>
          <w:rFonts w:eastAsia="Times New Roman"/>
        </w:rPr>
      </w:pPr>
      <w:r>
        <w:rPr>
          <w:rFonts w:eastAsia="Times New Roman"/>
          <w:color w:val="000000"/>
          <w:sz w:val="20"/>
          <w:szCs w:val="20"/>
        </w:rPr>
        <w:t>Certain amounts in the prior year financial statements have been reclassified to conform to the current quarter presentation. Specifically, current accrued litigation settlements have been aggregated withi</w:t>
      </w:r>
      <w:r>
        <w:rPr>
          <w:rFonts w:eastAsia="Times New Roman"/>
          <w:color w:val="000000"/>
          <w:sz w:val="20"/>
          <w:szCs w:val="20"/>
        </w:rPr>
        <w:t>n other current liabilities on the Condensed Consolidated Balance Sheets. In addition, non-current contract liabilities are now separately reported from other non-current liabilities on the Condensed Consolidated Balance Sheets.</w:t>
      </w:r>
    </w:p>
    <w:p w:rsidR="00000000" w:rsidRDefault="000242E9">
      <w:pPr>
        <w:jc w:val="both"/>
        <w:divId w:val="321549350"/>
        <w:rPr>
          <w:rFonts w:eastAsia="Times New Roman"/>
        </w:rPr>
      </w:pPr>
      <w:r>
        <w:rPr>
          <w:rFonts w:eastAsia="Times New Roman"/>
          <w:b/>
          <w:bCs/>
          <w:i/>
          <w:iCs/>
          <w:color w:val="000000"/>
          <w:sz w:val="20"/>
          <w:szCs w:val="20"/>
        </w:rPr>
        <w:t>Unaudited Interim Financial Information</w:t>
      </w:r>
    </w:p>
    <w:p w:rsidR="00000000" w:rsidRDefault="000242E9">
      <w:pPr>
        <w:jc w:val="both"/>
        <w:divId w:val="49622205"/>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 regulations of the United States Securities and</w:t>
      </w:r>
      <w:r>
        <w:rPr>
          <w:rFonts w:eastAsia="Times New Roman"/>
          <w:color w:val="000000"/>
          <w:sz w:val="20"/>
          <w:szCs w:val="20"/>
        </w:rPr>
        <w:t xml:space="preserve"> Exchange Commission ("SEC"). Certain information and footnote disclosures normally included in financial statements prepared in accordance with generally accepted accounting principles in the United States ("GAAP") have been condensed or omitted pursuant </w:t>
      </w:r>
      <w:r>
        <w:rPr>
          <w:rFonts w:eastAsia="Times New Roman"/>
          <w:color w:val="000000"/>
          <w:sz w:val="20"/>
          <w:szCs w:val="20"/>
        </w:rPr>
        <w:t>to such rules and regulations. However, the Company believes that the disclosures contained in this quarterly report comply with the requirements of Section 13(a) of the Securities Exchange Act of 1934, as amended (the "Exchange Act"), for a quarterly repo</w:t>
      </w:r>
      <w:r>
        <w:rPr>
          <w:rFonts w:eastAsia="Times New Roman"/>
          <w:color w:val="000000"/>
          <w:sz w:val="20"/>
          <w:szCs w:val="20"/>
        </w:rPr>
        <w:t>rt on Form 10-Q and are adequate to make the information presented not misleading. The interim Condensed Consolidated Financial Statements included herein reflect all adjustments (consisting of normal recurring adjustments) which are, in the opinion of man</w:t>
      </w:r>
      <w:r>
        <w:rPr>
          <w:rFonts w:eastAsia="Times New Roman"/>
          <w:color w:val="000000"/>
          <w:sz w:val="20"/>
          <w:szCs w:val="20"/>
        </w:rPr>
        <w:t>agement, necessary for a fair presentation of the financial position, results of operations and cash flows for the interim periods presented. These interim Condensed Consolidated Financial Statements should be read in conjunction with the Consolidated Fina</w:t>
      </w:r>
      <w:r>
        <w:rPr>
          <w:rFonts w:eastAsia="Times New Roman"/>
          <w:color w:val="000000"/>
          <w:sz w:val="20"/>
          <w:szCs w:val="20"/>
        </w:rPr>
        <w:t xml:space="preserve">ncial Statements and Notes thereto contained in the Company's Annual Report on </w:t>
      </w:r>
      <w:hyperlink r:id="rId7" w:history="1">
        <w:r>
          <w:rPr>
            <w:rStyle w:val="a3"/>
            <w:rFonts w:eastAsia="Times New Roman"/>
            <w:sz w:val="20"/>
            <w:szCs w:val="20"/>
          </w:rPr>
          <w:t>Form 10-K</w:t>
        </w:r>
      </w:hyperlink>
      <w:r>
        <w:rPr>
          <w:rFonts w:eastAsia="Times New Roman"/>
          <w:color w:val="000000"/>
          <w:sz w:val="20"/>
          <w:szCs w:val="20"/>
        </w:rPr>
        <w:t xml:space="preserve"> for the year ended December 31, 2019 (the "2019 10-K"). The Conden</w:t>
      </w:r>
      <w:r>
        <w:rPr>
          <w:rFonts w:eastAsia="Times New Roman"/>
          <w:color w:val="000000"/>
          <w:sz w:val="20"/>
          <w:szCs w:val="20"/>
        </w:rPr>
        <w:t>sed Consolidated Results of Operations for the three and nine months ended September 30, 2020 are not necessarily indicative of the results to be anticipated for the entire year ending December 31, 2020 or thereafter. All references to September 30, 2020 a</w:t>
      </w:r>
      <w:r>
        <w:rPr>
          <w:rFonts w:eastAsia="Times New Roman"/>
          <w:color w:val="000000"/>
          <w:sz w:val="20"/>
          <w:szCs w:val="20"/>
        </w:rPr>
        <w:t>nd 2019 in the Notes to Condensed Consolidated Financial Statements are unaudited.</w:t>
      </w:r>
    </w:p>
    <w:p w:rsidR="00000000" w:rsidRDefault="000242E9">
      <w:pPr>
        <w:jc w:val="center"/>
        <w:divId w:val="1535653267"/>
        <w:rPr>
          <w:rFonts w:eastAsia="Times New Roman"/>
        </w:rPr>
      </w:pPr>
      <w:r>
        <w:rPr>
          <w:rFonts w:eastAsia="Times New Roman"/>
          <w:color w:val="000000"/>
          <w:sz w:val="20"/>
          <w:szCs w:val="20"/>
        </w:rPr>
        <w:t>9</w:t>
      </w:r>
    </w:p>
    <w:p w:rsidR="00000000" w:rsidRDefault="000242E9">
      <w:pPr>
        <w:rPr>
          <w:rFonts w:eastAsia="Times New Roman"/>
        </w:rPr>
      </w:pPr>
      <w:r>
        <w:rPr>
          <w:rFonts w:eastAsia="Times New Roman"/>
        </w:rPr>
        <w:pict>
          <v:rect id="_x0000_i1036" style="width:0;height:1.5pt" o:hralign="center" o:hrstd="t" o:hr="t" fillcolor="#a0a0a0" stroked="f"/>
        </w:pict>
      </w:r>
    </w:p>
    <w:p w:rsidR="00000000" w:rsidRDefault="000242E9">
      <w:pPr>
        <w:jc w:val="both"/>
        <w:divId w:val="214434746"/>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14434746"/>
        <w:rPr>
          <w:rFonts w:eastAsia="Times New Roman"/>
        </w:rPr>
      </w:pPr>
    </w:p>
    <w:p w:rsidR="00000000" w:rsidRDefault="000242E9">
      <w:pPr>
        <w:jc w:val="both"/>
        <w:divId w:val="1824738089"/>
        <w:rPr>
          <w:rFonts w:eastAsia="Times New Roman"/>
        </w:rPr>
      </w:pPr>
      <w:r>
        <w:rPr>
          <w:rFonts w:eastAsia="Times New Roman"/>
          <w:b/>
          <w:bCs/>
          <w:i/>
          <w:iCs/>
          <w:color w:val="000000"/>
          <w:sz w:val="20"/>
          <w:szCs w:val="20"/>
        </w:rPr>
        <w:t>Use of Estimates and Judgments in the Preparation of the Condensed Consolidated Financial Statements</w:t>
      </w:r>
    </w:p>
    <w:p w:rsidR="00000000" w:rsidRDefault="000242E9">
      <w:pPr>
        <w:jc w:val="both"/>
        <w:divId w:val="22873022"/>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of a</w:t>
      </w:r>
      <w:r>
        <w:rPr>
          <w:rFonts w:eastAsia="Times New Roman"/>
          <w:color w:val="000000"/>
          <w:sz w:val="20"/>
          <w:szCs w:val="20"/>
        </w:rPr>
        <w:t>ssets and liabilities and the reported amounts of revenue and expense during the reporting periods. Significant estimates and judgments are inherent in the analysis and the measurement of management's standalone selling price, principal versus agent revenu</w:t>
      </w:r>
      <w:r>
        <w:rPr>
          <w:rFonts w:eastAsia="Times New Roman"/>
          <w:color w:val="000000"/>
          <w:sz w:val="20"/>
          <w:szCs w:val="20"/>
        </w:rPr>
        <w:t>e recognition, determination of performance obligations, determination of transaction price, including the determination of variable consideration and allocation of transaction price to performance obligations, deferred tax assets and liabilities, includin</w:t>
      </w:r>
      <w:r>
        <w:rPr>
          <w:rFonts w:eastAsia="Times New Roman"/>
          <w:color w:val="000000"/>
          <w:sz w:val="20"/>
          <w:szCs w:val="20"/>
        </w:rPr>
        <w:t>g the identification and quantification of income tax liabilities due to uncertain tax positions, the valuation and recoverability of goodwill, intangible and other long-lived assets, the determination of appropriate discount rates for lease accounting, th</w:t>
      </w:r>
      <w:r>
        <w:rPr>
          <w:rFonts w:eastAsia="Times New Roman"/>
          <w:color w:val="000000"/>
          <w:sz w:val="20"/>
          <w:szCs w:val="20"/>
        </w:rPr>
        <w:t>e probability of exercising either lease renewal or termination clauses, the assessment of potential loss from contingencies, the fair value determination of financing derivative liabilities and warrants, the allowance for doubtful accounts, and the valuat</w:t>
      </w:r>
      <w:r>
        <w:rPr>
          <w:rFonts w:eastAsia="Times New Roman"/>
          <w:color w:val="000000"/>
          <w:sz w:val="20"/>
          <w:szCs w:val="20"/>
        </w:rPr>
        <w:t xml:space="preserve">ion of options, performance-based and market-based stock awards. Management bases its estimates and assumptions on historical experience and on various other factors that are believed to be reasonable under the circumstances. For the three and nine months </w:t>
      </w:r>
      <w:r>
        <w:rPr>
          <w:rFonts w:eastAsia="Times New Roman"/>
          <w:color w:val="000000"/>
          <w:sz w:val="20"/>
          <w:szCs w:val="20"/>
        </w:rPr>
        <w:t>ended September 30, 2020, management specifically considered the impact of the COVID-19 pandemic and related matters in evaluating the Company's goodwill, intangible and other long-lived assets, lease accounting, contingencies, fair value determinations an</w:t>
      </w:r>
      <w:r>
        <w:rPr>
          <w:rFonts w:eastAsia="Times New Roman"/>
          <w:color w:val="000000"/>
          <w:sz w:val="20"/>
          <w:szCs w:val="20"/>
        </w:rPr>
        <w:t xml:space="preserve">d allowance for doubtful accounts. </w:t>
      </w:r>
    </w:p>
    <w:p w:rsidR="00000000" w:rsidRDefault="000242E9">
      <w:pPr>
        <w:jc w:val="both"/>
        <w:divId w:val="218321867"/>
        <w:rPr>
          <w:rFonts w:eastAsia="Times New Roman"/>
        </w:rPr>
      </w:pPr>
      <w:r>
        <w:rPr>
          <w:rFonts w:eastAsia="Times New Roman"/>
          <w:color w:val="000000"/>
          <w:sz w:val="20"/>
          <w:szCs w:val="20"/>
        </w:rPr>
        <w:t>Due to the inherent uncertainty involved in making estimates, particularly in the current environment, actual results reported in future periods may be affected by changes in those estimates. The Company evaluates its es</w:t>
      </w:r>
      <w:r>
        <w:rPr>
          <w:rFonts w:eastAsia="Times New Roman"/>
          <w:color w:val="000000"/>
          <w:sz w:val="20"/>
          <w:szCs w:val="20"/>
        </w:rPr>
        <w:t>timates and assumptions on an ongoing basis.</w:t>
      </w:r>
    </w:p>
    <w:p w:rsidR="00000000" w:rsidRDefault="000242E9">
      <w:pPr>
        <w:jc w:val="both"/>
        <w:divId w:val="992567215"/>
        <w:rPr>
          <w:rFonts w:eastAsia="Times New Roman"/>
        </w:rPr>
      </w:pPr>
      <w:r>
        <w:rPr>
          <w:rFonts w:eastAsia="Times New Roman"/>
          <w:b/>
          <w:bCs/>
          <w:i/>
          <w:iCs/>
          <w:color w:val="000000"/>
          <w:sz w:val="20"/>
          <w:szCs w:val="20"/>
        </w:rPr>
        <w:t>Other Income, Net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02"/>
        <w:gridCol w:w="37"/>
        <w:gridCol w:w="110"/>
        <w:gridCol w:w="955"/>
        <w:gridCol w:w="36"/>
        <w:gridCol w:w="36"/>
        <w:gridCol w:w="36"/>
        <w:gridCol w:w="36"/>
        <w:gridCol w:w="110"/>
        <w:gridCol w:w="955"/>
        <w:gridCol w:w="36"/>
        <w:gridCol w:w="36"/>
        <w:gridCol w:w="36"/>
        <w:gridCol w:w="36"/>
        <w:gridCol w:w="110"/>
        <w:gridCol w:w="955"/>
        <w:gridCol w:w="36"/>
        <w:gridCol w:w="36"/>
        <w:gridCol w:w="36"/>
        <w:gridCol w:w="36"/>
        <w:gridCol w:w="110"/>
        <w:gridCol w:w="956"/>
        <w:gridCol w:w="36"/>
      </w:tblGrid>
      <w:tr w:rsidR="00000000">
        <w:trPr>
          <w:divId w:val="164713510"/>
          <w:jc w:val="center"/>
        </w:trPr>
        <w:tc>
          <w:tcPr>
            <w:tcW w:w="50" w:type="pct"/>
            <w:vAlign w:val="center"/>
            <w:hideMark/>
          </w:tcPr>
          <w:p w:rsidR="00000000" w:rsidRDefault="000242E9">
            <w:pPr>
              <w:jc w:val="both"/>
              <w:rPr>
                <w:rFonts w:eastAsia="Times New Roman"/>
              </w:rPr>
            </w:pPr>
          </w:p>
        </w:tc>
        <w:tc>
          <w:tcPr>
            <w:tcW w:w="216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6471351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6471351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6471351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471351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5,765 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471351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471351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1,152 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471351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516067188"/>
              <w:rPr>
                <w:rFonts w:eastAsia="Times New Roman"/>
              </w:rPr>
            </w:pPr>
            <w:r>
              <w:rPr>
                <w:rFonts w:eastAsia="Times New Roman"/>
                <w:b/>
                <w:bCs/>
                <w:color w:val="000000"/>
                <w:sz w:val="18"/>
                <w:szCs w:val="18"/>
              </w:rPr>
              <w:t>Total other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4,191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6,733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12,862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6,621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184857119"/>
        <w:rPr>
          <w:rFonts w:eastAsia="Times New Roman"/>
        </w:rPr>
      </w:pPr>
      <w:r>
        <w:rPr>
          <w:rFonts w:eastAsia="Times New Roman"/>
          <w:b/>
          <w:bCs/>
          <w:i/>
          <w:iCs/>
          <w:color w:val="000000"/>
          <w:sz w:val="20"/>
          <w:szCs w:val="20"/>
        </w:rPr>
        <w:t>Loss Per Share</w:t>
      </w:r>
    </w:p>
    <w:p w:rsidR="00000000" w:rsidRDefault="000242E9">
      <w:pPr>
        <w:jc w:val="both"/>
        <w:divId w:val="1722361262"/>
        <w:rPr>
          <w:rFonts w:eastAsia="Times New Roman"/>
        </w:rPr>
      </w:pPr>
      <w:r>
        <w:rPr>
          <w:rFonts w:eastAsia="Times New Roman"/>
          <w:color w:val="000000"/>
          <w:sz w:val="20"/>
          <w:szCs w:val="20"/>
        </w:rPr>
        <w:t>Basic net loss </w:t>
      </w:r>
      <w:r>
        <w:rPr>
          <w:rFonts w:eastAsia="Times New Roman"/>
          <w:color w:val="000000"/>
          <w:sz w:val="20"/>
          <w:szCs w:val="20"/>
        </w:rPr>
        <w:t>per common share excludes dilution for potential Common Stock issuances and is computed by dividing net loss by the weighted-average number of shares of Common Stock outstanding for the period. 250,000 shares of Common Stock issuable upon the exercise of w</w:t>
      </w:r>
      <w:r>
        <w:rPr>
          <w:rFonts w:eastAsia="Times New Roman"/>
          <w:color w:val="000000"/>
          <w:sz w:val="20"/>
          <w:szCs w:val="20"/>
        </w:rPr>
        <w:t>arrants held by Starboard ("penny warrants") were included in the number of outstanding shares used for the computation of basic net loss per share prior to the exercise of those warrants on April 3, 2019. In periods where the Company reports a net loss, t</w:t>
      </w:r>
      <w:r>
        <w:rPr>
          <w:rFonts w:eastAsia="Times New Roman"/>
          <w:color w:val="000000"/>
          <w:sz w:val="20"/>
          <w:szCs w:val="20"/>
        </w:rPr>
        <w:t xml:space="preserve">he effect of anti-dilutive stock options, stock appreciation rights, restricted stock units, deferred stock units, senior secured convertible notes and warrants are excluded and diluted net loss per share is equal to basic net loss per share. </w:t>
      </w:r>
    </w:p>
    <w:p w:rsidR="00000000" w:rsidRDefault="000242E9">
      <w:pPr>
        <w:jc w:val="both"/>
        <w:divId w:val="553352158"/>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569"/>
        <w:gridCol w:w="36"/>
        <w:gridCol w:w="66"/>
        <w:gridCol w:w="977"/>
        <w:gridCol w:w="37"/>
        <w:gridCol w:w="37"/>
        <w:gridCol w:w="37"/>
        <w:gridCol w:w="36"/>
        <w:gridCol w:w="66"/>
        <w:gridCol w:w="979"/>
        <w:gridCol w:w="36"/>
        <w:gridCol w:w="36"/>
        <w:gridCol w:w="36"/>
        <w:gridCol w:w="36"/>
        <w:gridCol w:w="66"/>
        <w:gridCol w:w="979"/>
        <w:gridCol w:w="37"/>
        <w:gridCol w:w="37"/>
        <w:gridCol w:w="37"/>
        <w:gridCol w:w="36"/>
        <w:gridCol w:w="66"/>
        <w:gridCol w:w="979"/>
        <w:gridCol w:w="36"/>
      </w:tblGrid>
      <w:tr w:rsidR="00000000">
        <w:trPr>
          <w:divId w:val="1522431042"/>
          <w:jc w:val="center"/>
        </w:trPr>
        <w:tc>
          <w:tcPr>
            <w:tcW w:w="50" w:type="pct"/>
            <w:vAlign w:val="center"/>
            <w:hideMark/>
          </w:tcPr>
          <w:p w:rsidR="00000000" w:rsidRDefault="000242E9">
            <w:pPr>
              <w:jc w:val="both"/>
              <w:rPr>
                <w:rFonts w:eastAsia="Times New Roman"/>
              </w:rPr>
            </w:pPr>
          </w:p>
        </w:tc>
        <w:tc>
          <w:tcPr>
            <w:tcW w:w="216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22431042"/>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522431042"/>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52243104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Stock options, stock appreciation rights, restricted stock units, deferred stock units, senior secured convertible notes and warrants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15,978,211 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15,569,593 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17,175,193 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10,770,798 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635992128"/>
        <w:rPr>
          <w:rFonts w:eastAsia="Times New Roman"/>
        </w:rPr>
      </w:pPr>
      <w:r>
        <w:rPr>
          <w:rFonts w:eastAsia="Times New Roman"/>
          <w:b/>
          <w:bCs/>
          <w:i/>
          <w:iCs/>
          <w:color w:val="000000"/>
          <w:sz w:val="20"/>
          <w:szCs w:val="20"/>
        </w:rPr>
        <w:t>Goodwill and Intangible Assets</w:t>
      </w:r>
    </w:p>
    <w:p w:rsidR="00000000" w:rsidRDefault="000242E9">
      <w:pPr>
        <w:jc w:val="both"/>
        <w:divId w:val="1493569519"/>
        <w:rPr>
          <w:rFonts w:eastAsia="Times New Roman"/>
        </w:rPr>
      </w:pPr>
      <w:r>
        <w:rPr>
          <w:rFonts w:eastAsia="Times New Roman"/>
          <w:color w:val="000000"/>
          <w:sz w:val="20"/>
          <w:szCs w:val="20"/>
        </w:rPr>
        <w:t>In June 2019, the Company concluded that it was more likely than not that the estimated fair value of its reporting unit was less than its carrying val</w:t>
      </w:r>
      <w:r>
        <w:rPr>
          <w:rFonts w:eastAsia="Times New Roman"/>
          <w:color w:val="000000"/>
          <w:sz w:val="20"/>
          <w:szCs w:val="20"/>
        </w:rPr>
        <w:t>ue. In its assessment, the Company considered the sustained decline in the Company's stock price and market capitalization, changes in management, and lower revenue, among other factors. The Company performed a quantitative goodwill impairment test using a</w:t>
      </w:r>
      <w:r>
        <w:rPr>
          <w:rFonts w:eastAsia="Times New Roman"/>
          <w:color w:val="000000"/>
          <w:sz w:val="20"/>
          <w:szCs w:val="20"/>
        </w:rPr>
        <w:t xml:space="preserve"> discounted cash flow model, supported by a market approach. The Company's reporting unit failed the goodwill impairment test; and as a result the Company recorded a $224.3 million non-cash impairment charge.</w:t>
      </w:r>
    </w:p>
    <w:p w:rsidR="00000000" w:rsidRDefault="000242E9">
      <w:pPr>
        <w:jc w:val="both"/>
        <w:divId w:val="1505439047"/>
        <w:rPr>
          <w:rFonts w:eastAsia="Times New Roman"/>
        </w:rPr>
      </w:pPr>
      <w:r>
        <w:rPr>
          <w:rFonts w:eastAsia="Times New Roman"/>
          <w:color w:val="000000"/>
          <w:sz w:val="20"/>
          <w:szCs w:val="20"/>
        </w:rPr>
        <w:t>Also in June 2019, the Company recorded a $17.3</w:t>
      </w:r>
      <w:r>
        <w:rPr>
          <w:rFonts w:eastAsia="Times New Roman"/>
          <w:color w:val="000000"/>
          <w:sz w:val="20"/>
          <w:szCs w:val="20"/>
        </w:rPr>
        <w:t xml:space="preserve"> million non-cash impairment charge for the full carrying value of its strategic alliance intangible asset. Changes in the Company's projected revenue in certain non-U.S. geographic markets due to the changing international competitive landscape as well as</w:t>
      </w:r>
      <w:r>
        <w:rPr>
          <w:rFonts w:eastAsia="Times New Roman"/>
          <w:color w:val="000000"/>
          <w:sz w:val="20"/>
          <w:szCs w:val="20"/>
        </w:rPr>
        <w:t xml:space="preserve"> significant reductions in international staffing during the quarter, resulted in a change in the Company's long-term view of the viability of the intangible asset. As such, the Company's assessment yielded that the benefit of the alliance would not be rea</w:t>
      </w:r>
      <w:r>
        <w:rPr>
          <w:rFonts w:eastAsia="Times New Roman"/>
          <w:color w:val="000000"/>
          <w:sz w:val="20"/>
          <w:szCs w:val="20"/>
        </w:rPr>
        <w:t>lized. The fair value of the strategic alliance intangible asset was estimated using an income approach.</w:t>
      </w:r>
    </w:p>
    <w:p w:rsidR="00000000" w:rsidRDefault="000242E9">
      <w:pPr>
        <w:jc w:val="both"/>
        <w:divId w:val="326641583"/>
        <w:rPr>
          <w:rFonts w:eastAsia="Times New Roman"/>
        </w:rPr>
      </w:pPr>
      <w:r>
        <w:rPr>
          <w:rFonts w:eastAsia="Times New Roman"/>
          <w:color w:val="000000"/>
          <w:sz w:val="20"/>
          <w:szCs w:val="20"/>
        </w:rPr>
        <w:t>There were no comparable charges in the three or nine months ended September 30, 2020.</w:t>
      </w:r>
    </w:p>
    <w:p w:rsidR="00000000" w:rsidRDefault="000242E9">
      <w:pPr>
        <w:jc w:val="center"/>
        <w:divId w:val="129637409"/>
        <w:rPr>
          <w:rFonts w:eastAsia="Times New Roman"/>
        </w:rPr>
      </w:pPr>
      <w:r>
        <w:rPr>
          <w:rFonts w:eastAsia="Times New Roman"/>
          <w:color w:val="000000"/>
          <w:sz w:val="20"/>
          <w:szCs w:val="20"/>
        </w:rPr>
        <w:t>10</w:t>
      </w:r>
    </w:p>
    <w:p w:rsidR="00000000" w:rsidRDefault="000242E9">
      <w:pPr>
        <w:rPr>
          <w:rFonts w:eastAsia="Times New Roman"/>
        </w:rPr>
      </w:pPr>
      <w:r>
        <w:rPr>
          <w:rFonts w:eastAsia="Times New Roman"/>
        </w:rPr>
        <w:pict>
          <v:rect id="_x0000_i1037" style="width:0;height:1.5pt" o:hralign="center" o:hrstd="t" o:hr="t" fillcolor="#a0a0a0" stroked="f"/>
        </w:pict>
      </w:r>
    </w:p>
    <w:p w:rsidR="00000000" w:rsidRDefault="000242E9">
      <w:pPr>
        <w:jc w:val="both"/>
        <w:divId w:val="75655618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756556181"/>
        <w:rPr>
          <w:rFonts w:eastAsia="Times New Roman"/>
        </w:rPr>
      </w:pPr>
    </w:p>
    <w:p w:rsidR="00000000" w:rsidRDefault="000242E9">
      <w:pPr>
        <w:jc w:val="both"/>
        <w:divId w:val="1501459059"/>
        <w:rPr>
          <w:rFonts w:eastAsia="Times New Roman"/>
        </w:rPr>
      </w:pPr>
      <w:r>
        <w:rPr>
          <w:rFonts w:eastAsia="Times New Roman"/>
          <w:b/>
          <w:bCs/>
          <w:i/>
          <w:iCs/>
          <w:color w:val="000000"/>
          <w:sz w:val="20"/>
          <w:szCs w:val="20"/>
        </w:rPr>
        <w:t>Impairment of Right-of-use ("ROU") and Long-lived Assets</w:t>
      </w:r>
    </w:p>
    <w:p w:rsidR="00000000" w:rsidRDefault="000242E9">
      <w:pPr>
        <w:jc w:val="both"/>
        <w:divId w:val="1365331678"/>
        <w:rPr>
          <w:rFonts w:eastAsia="Times New Roman"/>
        </w:rPr>
      </w:pPr>
      <w:r>
        <w:rPr>
          <w:rFonts w:eastAsia="Times New Roman"/>
          <w:color w:val="000000"/>
          <w:sz w:val="20"/>
          <w:szCs w:val="20"/>
        </w:rPr>
        <w:t>The Company applies the provisions of Accounting Standards Codification ("ASC") 360, </w:t>
      </w:r>
      <w:r>
        <w:rPr>
          <w:rFonts w:eastAsia="Times New Roman"/>
          <w:i/>
          <w:iCs/>
          <w:color w:val="000000"/>
          <w:sz w:val="20"/>
          <w:szCs w:val="20"/>
        </w:rPr>
        <w:t>Property, Plant and Equipment</w:t>
      </w:r>
      <w:r>
        <w:rPr>
          <w:rFonts w:eastAsia="Times New Roman"/>
          <w:color w:val="000000"/>
          <w:sz w:val="20"/>
          <w:szCs w:val="20"/>
        </w:rPr>
        <w:t>, to determine whether ROU and related long-lived assets may be impaired. The Company evaluates its ROU and long-lived assets for impairment w</w:t>
      </w:r>
      <w:r>
        <w:rPr>
          <w:rFonts w:eastAsia="Times New Roman"/>
          <w:color w:val="000000"/>
          <w:sz w:val="20"/>
          <w:szCs w:val="20"/>
        </w:rPr>
        <w:t>henever events or changes in circumstances indicate the carrying value of such assets may not be recoverable. For facility lease ROU and related long-lived assets, the Company compares the estimated undiscounted cash flows generated by a sublease to the cu</w:t>
      </w:r>
      <w:r>
        <w:rPr>
          <w:rFonts w:eastAsia="Times New Roman"/>
          <w:color w:val="000000"/>
          <w:sz w:val="20"/>
          <w:szCs w:val="20"/>
        </w:rPr>
        <w:t>rrent carrying value of the ROU and related long-lived assets. If the undiscounted cash flows are less than the carrying value of the ROU and related long-lived assets, the Company records an impairment loss equal to the excess of the ROU and long-lived as</w:t>
      </w:r>
      <w:r>
        <w:rPr>
          <w:rFonts w:eastAsia="Times New Roman"/>
          <w:color w:val="000000"/>
          <w:sz w:val="20"/>
          <w:szCs w:val="20"/>
        </w:rPr>
        <w:t>sets' carrying value over their fair value consistent with other long-lived assets.</w:t>
      </w:r>
    </w:p>
    <w:p w:rsidR="00000000" w:rsidRDefault="000242E9">
      <w:pPr>
        <w:jc w:val="both"/>
        <w:divId w:val="691953905"/>
        <w:rPr>
          <w:rFonts w:eastAsia="Times New Roman"/>
        </w:rPr>
      </w:pPr>
      <w:r>
        <w:rPr>
          <w:rFonts w:eastAsia="Times New Roman"/>
          <w:color w:val="000000"/>
          <w:sz w:val="20"/>
          <w:szCs w:val="20"/>
        </w:rPr>
        <w:t>The Company performed an interim analysis as of March 31, 2020, as changes in market conditions indicated the carrying value of certain facility lease ROU and other long-li</w:t>
      </w:r>
      <w:r>
        <w:rPr>
          <w:rFonts w:eastAsia="Times New Roman"/>
          <w:color w:val="000000"/>
          <w:sz w:val="20"/>
          <w:szCs w:val="20"/>
        </w:rPr>
        <w:t>ved assets may not be recoverable, and determined that certain ROU assets, and related leasehold improvements, were impaired.</w:t>
      </w:r>
    </w:p>
    <w:p w:rsidR="00000000" w:rsidRDefault="000242E9">
      <w:pPr>
        <w:jc w:val="both"/>
        <w:divId w:val="689837271"/>
        <w:rPr>
          <w:rFonts w:eastAsia="Times New Roman"/>
        </w:rPr>
      </w:pPr>
      <w:r>
        <w:rPr>
          <w:rFonts w:eastAsia="Times New Roman"/>
          <w:color w:val="000000"/>
          <w:sz w:val="20"/>
          <w:szCs w:val="20"/>
        </w:rPr>
        <w:t xml:space="preserve">The Company recorded a $4.7 million non-cash impairment charge related to its ROU assets, and related leasehold improvements, for </w:t>
      </w:r>
      <w:r>
        <w:rPr>
          <w:rFonts w:eastAsia="Times New Roman"/>
          <w:color w:val="000000"/>
          <w:sz w:val="20"/>
          <w:szCs w:val="20"/>
        </w:rPr>
        <w:t>the three months ended March 31, 2020, with corresponding reductions of $2.8 million and $1.9 million to the operating lease ROU asset and property and equipment, net line items, respectively, in the Condensed Consolidated Balance Sheet as of March 31, 202</w:t>
      </w:r>
      <w:r>
        <w:rPr>
          <w:rFonts w:eastAsia="Times New Roman"/>
          <w:color w:val="000000"/>
          <w:sz w:val="20"/>
          <w:szCs w:val="20"/>
        </w:rPr>
        <w:t xml:space="preserve">0. The impairment charge was driven by changes in the Company's projected undiscounted cash flows for certain properties, primarily as a result of changes in the real estate market related to the COVID-19 pandemic, that led to an increase in the estimated </w:t>
      </w:r>
      <w:r>
        <w:rPr>
          <w:rFonts w:eastAsia="Times New Roman"/>
          <w:color w:val="000000"/>
          <w:sz w:val="20"/>
          <w:szCs w:val="20"/>
        </w:rPr>
        <w:t>marketing time, and a reduction of expected receipts, for properties currently on the market for sublease. The fair value of these ROU assets, and related leasehold improvements, was estimated using an income approach and a discount rate of 12.0%.</w:t>
      </w:r>
    </w:p>
    <w:p w:rsidR="00000000" w:rsidRDefault="000242E9">
      <w:pPr>
        <w:jc w:val="both"/>
        <w:divId w:val="63379403"/>
        <w:rPr>
          <w:rFonts w:eastAsia="Times New Roman"/>
        </w:rPr>
      </w:pPr>
      <w:r>
        <w:rPr>
          <w:rFonts w:eastAsia="Times New Roman"/>
          <w:color w:val="000000"/>
          <w:sz w:val="20"/>
          <w:szCs w:val="20"/>
        </w:rPr>
        <w:t>Although</w:t>
      </w:r>
      <w:r>
        <w:rPr>
          <w:rFonts w:eastAsia="Times New Roman"/>
          <w:color w:val="000000"/>
          <w:sz w:val="20"/>
          <w:szCs w:val="20"/>
        </w:rPr>
        <w:t xml:space="preserve"> the Company believes that the carrying values of its long-lived assets are appropriately stated as of September 30, 2020, future changes in strategy or market conditions, significant technological developments or significant changes in legal or regulatory</w:t>
      </w:r>
      <w:r>
        <w:rPr>
          <w:rFonts w:eastAsia="Times New Roman"/>
          <w:color w:val="000000"/>
          <w:sz w:val="20"/>
          <w:szCs w:val="20"/>
        </w:rPr>
        <w:t xml:space="preserve"> factors could significantly impact these judgments and require adjustments to recorded asset balances.</w:t>
      </w:r>
    </w:p>
    <w:p w:rsidR="00000000" w:rsidRDefault="000242E9">
      <w:pPr>
        <w:jc w:val="both"/>
        <w:divId w:val="1335451676"/>
        <w:rPr>
          <w:rFonts w:eastAsia="Times New Roman"/>
        </w:rPr>
      </w:pPr>
      <w:r>
        <w:rPr>
          <w:rFonts w:eastAsia="Times New Roman"/>
          <w:b/>
          <w:bCs/>
          <w:i/>
          <w:iCs/>
          <w:color w:val="000000"/>
          <w:sz w:val="20"/>
          <w:szCs w:val="20"/>
        </w:rPr>
        <w:t>Allowance for Doubtful Accounts</w:t>
      </w:r>
    </w:p>
    <w:p w:rsidR="00000000" w:rsidRDefault="000242E9">
      <w:pPr>
        <w:jc w:val="both"/>
        <w:divId w:val="925306303"/>
        <w:rPr>
          <w:rFonts w:eastAsia="Times New Roman"/>
        </w:rPr>
      </w:pPr>
      <w:r>
        <w:rPr>
          <w:rFonts w:eastAsia="Times New Roman"/>
          <w:color w:val="000000"/>
          <w:sz w:val="20"/>
          <w:szCs w:val="20"/>
        </w:rPr>
        <w:t>The Company generally grants uncollateralized credit terms to its customers and maintains an allowance for doubtful acco</w:t>
      </w:r>
      <w:r>
        <w:rPr>
          <w:rFonts w:eastAsia="Times New Roman"/>
          <w:color w:val="000000"/>
          <w:sz w:val="20"/>
          <w:szCs w:val="20"/>
        </w:rPr>
        <w:t>unts to reserve for uncollectible receivables. Allowances are based on management's judgment, which considers historical collection experience adjusted for current conditions or expected future conditions based on reasonable and supportable forecasts, a sp</w:t>
      </w:r>
      <w:r>
        <w:rPr>
          <w:rFonts w:eastAsia="Times New Roman"/>
          <w:color w:val="000000"/>
          <w:sz w:val="20"/>
          <w:szCs w:val="20"/>
        </w:rPr>
        <w:t>ecific review of all significant outstanding receivables, an assessment of company-specific credit conditions and general economic conditions. For the nine months ended September 30, 2020, management considered the impact of the COVID-19 pandemic, includin</w:t>
      </w:r>
      <w:r>
        <w:rPr>
          <w:rFonts w:eastAsia="Times New Roman"/>
          <w:color w:val="000000"/>
          <w:sz w:val="20"/>
          <w:szCs w:val="20"/>
        </w:rPr>
        <w:t>g customer payment delays and requests from customers to revise contractual payment terms, in determining the Company's allowance for doubtful accounts.</w:t>
      </w:r>
    </w:p>
    <w:p w:rsidR="00000000" w:rsidRDefault="000242E9">
      <w:pPr>
        <w:jc w:val="both"/>
        <w:divId w:val="1511525359"/>
        <w:rPr>
          <w:rFonts w:eastAsia="Times New Roman"/>
        </w:rPr>
      </w:pPr>
      <w:r>
        <w:rPr>
          <w:rFonts w:eastAsia="Times New Roman"/>
          <w:color w:val="000000"/>
          <w:sz w:val="20"/>
          <w:szCs w:val="20"/>
        </w:rPr>
        <w:t>The table below summarizes the change in balance of the allowance for doubtful accounts: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799"/>
        <w:gridCol w:w="38"/>
        <w:gridCol w:w="36"/>
        <w:gridCol w:w="36"/>
        <w:gridCol w:w="36"/>
        <w:gridCol w:w="110"/>
        <w:gridCol w:w="961"/>
        <w:gridCol w:w="36"/>
        <w:gridCol w:w="36"/>
        <w:gridCol w:w="36"/>
        <w:gridCol w:w="36"/>
        <w:gridCol w:w="110"/>
        <w:gridCol w:w="961"/>
        <w:gridCol w:w="36"/>
      </w:tblGrid>
      <w:tr w:rsidR="00000000">
        <w:trPr>
          <w:divId w:val="1790270785"/>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790270785"/>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790270785"/>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79027078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90270785"/>
          <w:jc w:val="center"/>
        </w:trPr>
        <w:tc>
          <w:tcPr>
            <w:tcW w:w="0" w:type="auto"/>
            <w:gridSpan w:val="3"/>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Bad debt expense</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(1,664)</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90270785"/>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Recoveries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90270785"/>
          <w:jc w:val="center"/>
        </w:trPr>
        <w:tc>
          <w:tcPr>
            <w:tcW w:w="0" w:type="auto"/>
            <w:gridSpan w:val="3"/>
            <w:tcMar>
              <w:top w:w="30" w:type="dxa"/>
              <w:left w:w="135" w:type="dxa"/>
              <w:bottom w:w="30" w:type="dxa"/>
              <w:right w:w="20" w:type="dxa"/>
            </w:tcMar>
            <w:vAlign w:val="bottom"/>
            <w:hideMark/>
          </w:tcPr>
          <w:p w:rsidR="00000000" w:rsidRDefault="000242E9">
            <w:pPr>
              <w:rPr>
                <w:rFonts w:eastAsia="Times New Roman"/>
              </w:rPr>
            </w:pPr>
            <w:r>
              <w:rPr>
                <w:rFonts w:eastAsia="Times New Roman"/>
                <w:color w:val="000000"/>
                <w:sz w:val="18"/>
                <w:szCs w:val="18"/>
              </w:rPr>
              <w:t>Write-offs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982 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499 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9027078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770201780"/>
        <w:rPr>
          <w:rFonts w:eastAsia="Times New Roman"/>
        </w:rPr>
      </w:pPr>
      <w:r>
        <w:rPr>
          <w:rFonts w:eastAsia="Times New Roman"/>
          <w:b/>
          <w:bCs/>
          <w:i/>
          <w:iCs/>
          <w:color w:val="000000"/>
          <w:sz w:val="20"/>
          <w:szCs w:val="20"/>
        </w:rPr>
        <w:t>A</w:t>
      </w:r>
      <w:r>
        <w:rPr>
          <w:rFonts w:eastAsia="Times New Roman"/>
          <w:b/>
          <w:bCs/>
          <w:i/>
          <w:iCs/>
          <w:color w:val="000000"/>
          <w:sz w:val="20"/>
          <w:szCs w:val="20"/>
        </w:rPr>
        <w:t>ccounting Standards Recently Adopted</w:t>
      </w:r>
    </w:p>
    <w:p w:rsidR="00000000" w:rsidRDefault="000242E9">
      <w:pPr>
        <w:jc w:val="both"/>
        <w:divId w:val="618757240"/>
        <w:rPr>
          <w:rFonts w:eastAsia="Times New Roman"/>
        </w:rPr>
      </w:pPr>
      <w:r>
        <w:rPr>
          <w:rFonts w:eastAsia="Times New Roman"/>
          <w:color w:val="000000"/>
          <w:sz w:val="20"/>
          <w:szCs w:val="20"/>
        </w:rPr>
        <w:t xml:space="preserve">In June 2016, the Financial Accounting Standards Board ("FASB") issued ASU 2016-13, </w:t>
      </w:r>
      <w:r>
        <w:rPr>
          <w:rFonts w:eastAsia="Times New Roman"/>
          <w:i/>
          <w:iCs/>
          <w:color w:val="000000"/>
          <w:sz w:val="20"/>
          <w:szCs w:val="20"/>
        </w:rPr>
        <w:t xml:space="preserve">Financial Instruments - Credit Losses </w:t>
      </w:r>
      <w:r>
        <w:rPr>
          <w:rFonts w:eastAsia="Times New Roman"/>
          <w:color w:val="000000"/>
          <w:sz w:val="20"/>
          <w:szCs w:val="20"/>
        </w:rPr>
        <w:t>(Topic 326), which requires the measurement and recognition of expected credit losses for financi</w:t>
      </w:r>
      <w:r>
        <w:rPr>
          <w:rFonts w:eastAsia="Times New Roman"/>
          <w:color w:val="000000"/>
          <w:sz w:val="20"/>
          <w:szCs w:val="20"/>
        </w:rPr>
        <w:t>al assets held at amortized cost. ASU 2016-13 replaces the existing incurred loss impairment model with an expected loss model which requires consideration of forward-looking information to calculate credit loss estimates. These changes will result in an e</w:t>
      </w:r>
      <w:r>
        <w:rPr>
          <w:rFonts w:eastAsia="Times New Roman"/>
          <w:color w:val="000000"/>
          <w:sz w:val="20"/>
          <w:szCs w:val="20"/>
        </w:rPr>
        <w:t>arlier recognition of credit losses. The amendment is effective for fiscal years beginning after December 15, 2019, including interim periods within those fiscal years. The Company adopted the new standard effective January 1, 2020, and the standard did no</w:t>
      </w:r>
      <w:r>
        <w:rPr>
          <w:rFonts w:eastAsia="Times New Roman"/>
          <w:color w:val="000000"/>
          <w:sz w:val="20"/>
          <w:szCs w:val="20"/>
        </w:rPr>
        <w:t xml:space="preserve">t have a material impact on the Condensed Consolidated Financial Statements or related disclosures based on historical collection trends, the financial condition of payment partners, and external market factors. </w:t>
      </w:r>
    </w:p>
    <w:p w:rsidR="00000000" w:rsidRDefault="000242E9">
      <w:pPr>
        <w:jc w:val="both"/>
        <w:divId w:val="781191411"/>
        <w:rPr>
          <w:rFonts w:eastAsia="Times New Roman"/>
        </w:rPr>
      </w:pPr>
      <w:r>
        <w:rPr>
          <w:rFonts w:eastAsia="Times New Roman"/>
          <w:color w:val="000000"/>
          <w:sz w:val="20"/>
          <w:szCs w:val="20"/>
        </w:rPr>
        <w:t>In August 2018, the FASB issued ASU 2018-13</w:t>
      </w:r>
      <w:r>
        <w:rPr>
          <w:rFonts w:eastAsia="Times New Roman"/>
          <w:color w:val="000000"/>
          <w:sz w:val="20"/>
          <w:szCs w:val="20"/>
        </w:rPr>
        <w:t>, </w:t>
      </w:r>
      <w:r>
        <w:rPr>
          <w:rFonts w:eastAsia="Times New Roman"/>
          <w:i/>
          <w:iCs/>
          <w:color w:val="000000"/>
          <w:sz w:val="20"/>
          <w:szCs w:val="20"/>
        </w:rPr>
        <w:t>Fair Value Measurement</w:t>
      </w:r>
      <w:r>
        <w:rPr>
          <w:rFonts w:eastAsia="Times New Roman"/>
          <w:color w:val="000000"/>
          <w:sz w:val="20"/>
          <w:szCs w:val="20"/>
        </w:rPr>
        <w:t xml:space="preserve"> (Topic 820), which removes and modifies certain disclosure requirements under Topic 820. The amendments are effective for fiscal years beginning after December 15, 2019, including interim periods within those fiscal years. An entit</w:t>
      </w:r>
      <w:r>
        <w:rPr>
          <w:rFonts w:eastAsia="Times New Roman"/>
          <w:color w:val="000000"/>
          <w:sz w:val="20"/>
          <w:szCs w:val="20"/>
        </w:rPr>
        <w:t>y is permitted to early adopt any removed or modified disclosures upon issuance of the update and to delay adoption of the additional disclosures until their effective date. The Company adopted the new standard effective January 1, 2020, and the standard d</w:t>
      </w:r>
      <w:r>
        <w:rPr>
          <w:rFonts w:eastAsia="Times New Roman"/>
          <w:color w:val="000000"/>
          <w:sz w:val="20"/>
          <w:szCs w:val="20"/>
        </w:rPr>
        <w:t>id not have a material impact on the Condensed Consolidated Financial Statements or related disclosures.</w:t>
      </w:r>
    </w:p>
    <w:p w:rsidR="00000000" w:rsidRDefault="000242E9">
      <w:pPr>
        <w:jc w:val="center"/>
        <w:divId w:val="1351832228"/>
        <w:rPr>
          <w:rFonts w:eastAsia="Times New Roman"/>
        </w:rPr>
      </w:pPr>
      <w:r>
        <w:rPr>
          <w:rFonts w:eastAsia="Times New Roman"/>
          <w:color w:val="000000"/>
          <w:sz w:val="20"/>
          <w:szCs w:val="20"/>
        </w:rPr>
        <w:t>11</w:t>
      </w:r>
    </w:p>
    <w:p w:rsidR="00000000" w:rsidRDefault="000242E9">
      <w:pPr>
        <w:rPr>
          <w:rFonts w:eastAsia="Times New Roman"/>
        </w:rPr>
      </w:pPr>
      <w:r>
        <w:rPr>
          <w:rFonts w:eastAsia="Times New Roman"/>
        </w:rPr>
        <w:pict>
          <v:rect id="_x0000_i1038" style="width:0;height:1.5pt" o:hralign="center" o:hrstd="t" o:hr="t" fillcolor="#a0a0a0" stroked="f"/>
        </w:pict>
      </w:r>
    </w:p>
    <w:p w:rsidR="00000000" w:rsidRDefault="000242E9">
      <w:pPr>
        <w:jc w:val="both"/>
        <w:divId w:val="205792522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057925223"/>
        <w:rPr>
          <w:rFonts w:eastAsia="Times New Roman"/>
        </w:rPr>
      </w:pPr>
    </w:p>
    <w:p w:rsidR="00000000" w:rsidRDefault="000242E9">
      <w:pPr>
        <w:jc w:val="both"/>
        <w:divId w:val="193200523"/>
        <w:rPr>
          <w:rFonts w:eastAsia="Times New Roman"/>
        </w:rPr>
      </w:pPr>
      <w:r>
        <w:rPr>
          <w:rFonts w:eastAsia="Times New Roman"/>
          <w:b/>
          <w:bCs/>
          <w:i/>
          <w:iCs/>
          <w:color w:val="000000"/>
          <w:sz w:val="20"/>
          <w:szCs w:val="20"/>
        </w:rPr>
        <w:t>Recently Issued Accounting Pronouncements</w:t>
      </w:r>
    </w:p>
    <w:p w:rsidR="00000000" w:rsidRDefault="000242E9">
      <w:pPr>
        <w:jc w:val="both"/>
        <w:divId w:val="847794314"/>
        <w:rPr>
          <w:rFonts w:eastAsia="Times New Roman"/>
        </w:rPr>
      </w:pPr>
      <w:r>
        <w:rPr>
          <w:rFonts w:eastAsia="Times New Roman"/>
          <w:color w:val="000000"/>
          <w:sz w:val="20"/>
          <w:szCs w:val="20"/>
        </w:rPr>
        <w:t>In December 2019, the FASB issued ASU 2019-12, </w:t>
      </w:r>
      <w:r>
        <w:rPr>
          <w:rFonts w:eastAsia="Times New Roman"/>
          <w:i/>
          <w:iCs/>
          <w:color w:val="000000"/>
          <w:sz w:val="20"/>
          <w:szCs w:val="20"/>
        </w:rPr>
        <w:t>Income Taxes</w:t>
      </w:r>
      <w:r>
        <w:rPr>
          <w:rFonts w:eastAsia="Times New Roman"/>
          <w:color w:val="000000"/>
          <w:sz w:val="20"/>
          <w:szCs w:val="20"/>
        </w:rPr>
        <w:t xml:space="preserve"> (Topic 740), which simplifies the accounting for income taxes primarily by eliminating certain exemptions. The amendments are effective for fiscal years b</w:t>
      </w:r>
      <w:r>
        <w:rPr>
          <w:rFonts w:eastAsia="Times New Roman"/>
          <w:color w:val="000000"/>
          <w:sz w:val="20"/>
          <w:szCs w:val="20"/>
        </w:rPr>
        <w:t>eginning after December 15, 2020, including interim periods within those fiscal years. An entity is permitted to early adopt any removed or modified disclosures upon issuance of the update and to delay adoption of the additional disclosures until their eff</w:t>
      </w:r>
      <w:r>
        <w:rPr>
          <w:rFonts w:eastAsia="Times New Roman"/>
          <w:color w:val="000000"/>
          <w:sz w:val="20"/>
          <w:szCs w:val="20"/>
        </w:rPr>
        <w:t>ective date. The Company is in the process of evaluating the guidance but does not believe that the adoption of this standard will have a material impact on the Condensed Consolidated Financial Statements or related disclosures.</w:t>
      </w:r>
    </w:p>
    <w:p w:rsidR="00000000" w:rsidRDefault="000242E9">
      <w:pPr>
        <w:jc w:val="both"/>
        <w:divId w:val="1800803498"/>
        <w:rPr>
          <w:rFonts w:eastAsia="Times New Roman"/>
        </w:rPr>
      </w:pPr>
      <w:r>
        <w:rPr>
          <w:rFonts w:eastAsia="Times New Roman"/>
          <w:color w:val="000000"/>
          <w:sz w:val="20"/>
          <w:szCs w:val="20"/>
        </w:rPr>
        <w:t>In August 2020, the FASB is</w:t>
      </w:r>
      <w:r>
        <w:rPr>
          <w:rFonts w:eastAsia="Times New Roman"/>
          <w:color w:val="000000"/>
          <w:sz w:val="20"/>
          <w:szCs w:val="20"/>
        </w:rPr>
        <w:t xml:space="preserve">sued ASU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which simplifies accounting for convertible instruments, enhances disclosure requirements relate</w:t>
      </w:r>
      <w:r>
        <w:rPr>
          <w:rFonts w:eastAsia="Times New Roman"/>
          <w:color w:val="000000"/>
          <w:sz w:val="20"/>
          <w:szCs w:val="20"/>
        </w:rPr>
        <w:t xml:space="preserve">d to the terms and features of convertible instruments, and amends the guidance for the derivatives scope exception for contracts settled in an entity's own equity. The amendments are effective for fiscal years beginning after December 15, 2021, including </w:t>
      </w:r>
      <w:r>
        <w:rPr>
          <w:rFonts w:eastAsia="Times New Roman"/>
          <w:color w:val="000000"/>
          <w:sz w:val="20"/>
          <w:szCs w:val="20"/>
        </w:rPr>
        <w:t>interim periods within those fiscal years. Early adoption is permitted, but not earlier than periods beginning after December 15, 2020. The Company is in the process of evaluating the guidance but does not believe that the adoption of this standard will ha</w:t>
      </w:r>
      <w:r>
        <w:rPr>
          <w:rFonts w:eastAsia="Times New Roman"/>
          <w:color w:val="000000"/>
          <w:sz w:val="20"/>
          <w:szCs w:val="20"/>
        </w:rPr>
        <w:t>ve a material impact on the Condensed Consolidated Financial Statements and related disclosures.</w:t>
      </w:r>
    </w:p>
    <w:p w:rsidR="00000000" w:rsidRDefault="000242E9">
      <w:pPr>
        <w:ind w:hanging="360"/>
        <w:jc w:val="both"/>
        <w:divId w:val="1559902717"/>
        <w:rPr>
          <w:rFonts w:eastAsia="Times New Roman"/>
        </w:rPr>
      </w:pPr>
      <w:r>
        <w:rPr>
          <w:rFonts w:eastAsia="Times New Roman"/>
          <w:b/>
          <w:bCs/>
          <w:color w:val="000000"/>
          <w:sz w:val="20"/>
          <w:szCs w:val="20"/>
        </w:rPr>
        <w:t>3.Revenue Recognition</w:t>
      </w:r>
    </w:p>
    <w:p w:rsidR="00000000" w:rsidRDefault="000242E9">
      <w:pPr>
        <w:jc w:val="both"/>
        <w:divId w:val="1146893160"/>
        <w:rPr>
          <w:rFonts w:eastAsia="Times New Roman"/>
        </w:rPr>
      </w:pPr>
      <w:r>
        <w:rPr>
          <w:rFonts w:eastAsia="Times New Roman"/>
          <w:color w:val="000000"/>
          <w:sz w:val="20"/>
          <w:szCs w:val="20"/>
        </w:rPr>
        <w:t>The following table presents the Company's revenue disaggregated by solution group, geographical market and timing of transfer of product</w:t>
      </w:r>
      <w:r>
        <w:rPr>
          <w:rFonts w:eastAsia="Times New Roman"/>
          <w:color w:val="000000"/>
          <w:sz w:val="20"/>
          <w:szCs w:val="20"/>
        </w:rPr>
        <w:t xml:space="preserve">s and services.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35"/>
        <w:gridCol w:w="37"/>
        <w:gridCol w:w="36"/>
        <w:gridCol w:w="36"/>
        <w:gridCol w:w="36"/>
        <w:gridCol w:w="110"/>
        <w:gridCol w:w="945"/>
        <w:gridCol w:w="36"/>
        <w:gridCol w:w="36"/>
        <w:gridCol w:w="36"/>
        <w:gridCol w:w="36"/>
        <w:gridCol w:w="110"/>
        <w:gridCol w:w="945"/>
        <w:gridCol w:w="36"/>
        <w:gridCol w:w="36"/>
        <w:gridCol w:w="36"/>
        <w:gridCol w:w="36"/>
        <w:gridCol w:w="110"/>
        <w:gridCol w:w="945"/>
        <w:gridCol w:w="36"/>
        <w:gridCol w:w="36"/>
        <w:gridCol w:w="36"/>
        <w:gridCol w:w="36"/>
        <w:gridCol w:w="110"/>
        <w:gridCol w:w="945"/>
        <w:gridCol w:w="36"/>
      </w:tblGrid>
      <w:tr w:rsidR="00000000">
        <w:trPr>
          <w:divId w:val="150952564"/>
          <w:jc w:val="center"/>
        </w:trPr>
        <w:tc>
          <w:tcPr>
            <w:tcW w:w="50" w:type="pct"/>
            <w:vAlign w:val="center"/>
            <w:hideMark/>
          </w:tcPr>
          <w:p w:rsidR="00000000" w:rsidRDefault="000242E9">
            <w:pPr>
              <w:jc w:val="both"/>
              <w:rPr>
                <w:rFonts w:eastAsia="Times New Roman"/>
              </w:rPr>
            </w:pPr>
          </w:p>
        </w:tc>
        <w:tc>
          <w:tcPr>
            <w:tcW w:w="213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0952564"/>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50952564"/>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5095256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By solution group:</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095256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648098003"/>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62,718 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65,334 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190,018 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204,833 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460734708"/>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17,432 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18,252 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49,827 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57,003 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Movies Reporting and Analytics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7,802 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26,201 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31,646 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135"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By geographical market: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0952564"/>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United States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77,672 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81,957 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232,345 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253,904 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Europe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6,401 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7,078 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20,301 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22,994 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1,689 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5,262 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5,289 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Latin America</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1,178 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2,192 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6,878 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1,012 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1,382 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3,463 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By timing of revenue recognition:</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50952564"/>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Products and services transferred over time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67,828 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70,903 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208,321 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222,544 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20,124 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23,397 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57,725 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70,938 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0952564"/>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131902062"/>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the Company began classifying revenue from certain new and extended custom agreements for services that utilize its syndicated data set, previously classified under Analytics and Optimization, as Ratings and Planning. The imp</w:t>
      </w:r>
      <w:r>
        <w:rPr>
          <w:rFonts w:eastAsia="Times New Roman"/>
          <w:i/>
          <w:iCs/>
          <w:color w:val="000000"/>
          <w:sz w:val="16"/>
          <w:szCs w:val="16"/>
        </w:rPr>
        <w:t>act was not material to either solution group.</w:t>
      </w:r>
    </w:p>
    <w:p w:rsidR="00000000" w:rsidRDefault="000242E9">
      <w:pPr>
        <w:jc w:val="both"/>
        <w:divId w:val="935938889"/>
        <w:rPr>
          <w:rFonts w:eastAsia="Times New Roman"/>
        </w:rPr>
      </w:pPr>
      <w:r>
        <w:rPr>
          <w:rFonts w:eastAsia="Times New Roman"/>
          <w:b/>
          <w:bCs/>
          <w:i/>
          <w:iCs/>
          <w:color w:val="000000"/>
          <w:sz w:val="20"/>
          <w:szCs w:val="20"/>
        </w:rPr>
        <w:t>Contract Balances</w:t>
      </w:r>
    </w:p>
    <w:p w:rsidR="00000000" w:rsidRDefault="000242E9">
      <w:pPr>
        <w:jc w:val="both"/>
        <w:divId w:val="1435008865"/>
        <w:rPr>
          <w:rFonts w:eastAsia="Times New Roman"/>
        </w:rPr>
      </w:pPr>
      <w:r>
        <w:rPr>
          <w:rFonts w:eastAsia="Times New Roman"/>
          <w:color w:val="000000"/>
          <w:sz w:val="20"/>
          <w:szCs w:val="20"/>
        </w:rPr>
        <w:t>The following table provides information about receivables, contract assets, contract costs, contract liabilities and customer advances from contracts with customers: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trPr>
          <w:divId w:val="458572352"/>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458572352"/>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458572352"/>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45857235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5857235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5857235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and non-current contract costs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5857235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contract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50,040 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58,158 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5857235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Current customer advances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8,483 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9,886 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5857235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Non-current contract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4,026 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center"/>
        <w:divId w:val="477380559"/>
        <w:rPr>
          <w:rFonts w:eastAsia="Times New Roman"/>
        </w:rPr>
      </w:pPr>
      <w:r>
        <w:rPr>
          <w:rFonts w:eastAsia="Times New Roman"/>
          <w:color w:val="000000"/>
          <w:sz w:val="20"/>
          <w:szCs w:val="20"/>
        </w:rPr>
        <w:t>12</w:t>
      </w:r>
    </w:p>
    <w:p w:rsidR="00000000" w:rsidRDefault="000242E9">
      <w:pPr>
        <w:rPr>
          <w:rFonts w:eastAsia="Times New Roman"/>
        </w:rPr>
      </w:pPr>
      <w:r>
        <w:rPr>
          <w:rFonts w:eastAsia="Times New Roman"/>
        </w:rPr>
        <w:pict>
          <v:rect id="_x0000_i1039" style="width:0;height:1.5pt" o:hralign="center" o:hrstd="t" o:hr="t" fillcolor="#a0a0a0" stroked="f"/>
        </w:pict>
      </w:r>
    </w:p>
    <w:p w:rsidR="00000000" w:rsidRDefault="000242E9">
      <w:pPr>
        <w:jc w:val="both"/>
        <w:divId w:val="36760363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367603633"/>
        <w:rPr>
          <w:rFonts w:eastAsia="Times New Roman"/>
        </w:rPr>
      </w:pPr>
    </w:p>
    <w:p w:rsidR="00000000" w:rsidRDefault="000242E9">
      <w:pPr>
        <w:jc w:val="both"/>
        <w:divId w:val="665403014"/>
        <w:rPr>
          <w:rFonts w:eastAsia="Times New Roman"/>
        </w:rPr>
      </w:pPr>
      <w:r>
        <w:rPr>
          <w:rFonts w:eastAsia="Times New Roman"/>
          <w:color w:val="000000"/>
          <w:sz w:val="20"/>
          <w:szCs w:val="20"/>
        </w:rPr>
        <w:t>Significant changes in the contract assets and the contract liabilities balances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77"/>
        <w:gridCol w:w="37"/>
        <w:gridCol w:w="110"/>
        <w:gridCol w:w="977"/>
        <w:gridCol w:w="36"/>
        <w:gridCol w:w="36"/>
        <w:gridCol w:w="36"/>
        <w:gridCol w:w="36"/>
        <w:gridCol w:w="110"/>
        <w:gridCol w:w="977"/>
        <w:gridCol w:w="36"/>
      </w:tblGrid>
      <w:tr w:rsidR="00000000">
        <w:trPr>
          <w:divId w:val="428504604"/>
          <w:jc w:val="center"/>
        </w:trPr>
        <w:tc>
          <w:tcPr>
            <w:tcW w:w="50" w:type="pct"/>
            <w:vAlign w:val="center"/>
            <w:hideMark/>
          </w:tcPr>
          <w:p w:rsidR="00000000" w:rsidRDefault="000242E9">
            <w:pPr>
              <w:jc w:val="both"/>
              <w:rPr>
                <w:rFonts w:eastAsia="Times New Roman"/>
              </w:rPr>
            </w:pPr>
          </w:p>
        </w:tc>
        <w:tc>
          <w:tcPr>
            <w:tcW w:w="357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428504604"/>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Contract Liabilities (Current)</w:t>
            </w:r>
          </w:p>
        </w:tc>
      </w:tr>
      <w:tr w:rsidR="00000000">
        <w:trPr>
          <w:divId w:val="428504604"/>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428504604"/>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42850460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(49,784)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(55,607)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28504604"/>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40,212 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44,472 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044137624"/>
        <w:rPr>
          <w:rFonts w:eastAsia="Times New Roman"/>
        </w:rPr>
      </w:pPr>
      <w:r>
        <w:rPr>
          <w:rFonts w:eastAsia="Times New Roman"/>
          <w:color w:val="000000"/>
          <w:sz w:val="20"/>
          <w:szCs w:val="20"/>
        </w:rPr>
        <w:t>For the nine months ended September 30, 2020, the Company recorded $3.8 million in amounts billed in advance, but not yet recognized as revenue, within non-current contract liabilities.</w:t>
      </w:r>
    </w:p>
    <w:p w:rsidR="00000000" w:rsidRDefault="000242E9">
      <w:pPr>
        <w:jc w:val="both"/>
        <w:divId w:val="1366636826"/>
        <w:rPr>
          <w:rFonts w:eastAsia="Times New Roman"/>
        </w:rPr>
      </w:pPr>
      <w:r>
        <w:rPr>
          <w:rFonts w:eastAsia="Times New Roman"/>
          <w:b/>
          <w:bCs/>
          <w:i/>
          <w:iCs/>
          <w:color w:val="000000"/>
          <w:sz w:val="20"/>
          <w:szCs w:val="20"/>
        </w:rPr>
        <w:t xml:space="preserve">Transaction Price Allocated to the Remaining Performance Obligations </w:t>
      </w:r>
    </w:p>
    <w:p w:rsidR="00000000" w:rsidRDefault="000242E9">
      <w:pPr>
        <w:jc w:val="both"/>
        <w:divId w:val="1033338497"/>
        <w:rPr>
          <w:rFonts w:eastAsia="Times New Roman"/>
        </w:rPr>
      </w:pPr>
      <w:r>
        <w:rPr>
          <w:rFonts w:eastAsia="Times New Roman"/>
          <w:color w:val="000000"/>
          <w:sz w:val="20"/>
          <w:szCs w:val="20"/>
        </w:rPr>
        <w:t xml:space="preserve">As of September 30, 2020, approximately $210.0 million of revenue is expected to be recognized from remaining performance obligations that are unsatisfied (or partially unsatisfied) for non-cancelable contracts. The Company expects to recognize revenue on </w:t>
      </w:r>
      <w:r>
        <w:rPr>
          <w:rFonts w:eastAsia="Times New Roman"/>
          <w:color w:val="000000"/>
          <w:sz w:val="20"/>
          <w:szCs w:val="20"/>
        </w:rPr>
        <w:t>approximately 22% of these remaining performance obligations during the remainder of 2020, approximately 50% in 2021, and approximately 21% in 2022, with the remainder recognized thereafter.</w:t>
      </w:r>
    </w:p>
    <w:p w:rsidR="00000000" w:rsidRDefault="000242E9">
      <w:pPr>
        <w:jc w:val="both"/>
        <w:divId w:val="952056386"/>
        <w:rPr>
          <w:rFonts w:eastAsia="Times New Roman"/>
        </w:rPr>
      </w:pPr>
      <w:r>
        <w:rPr>
          <w:rFonts w:eastAsia="Times New Roman"/>
          <w:b/>
          <w:bCs/>
          <w:i/>
          <w:iCs/>
          <w:color w:val="000000"/>
          <w:sz w:val="20"/>
          <w:szCs w:val="20"/>
        </w:rPr>
        <w:t>Costs to Obtain or Fulfill a Contract</w:t>
      </w:r>
    </w:p>
    <w:p w:rsidR="00000000" w:rsidRDefault="000242E9">
      <w:pPr>
        <w:jc w:val="both"/>
        <w:divId w:val="350189038"/>
        <w:rPr>
          <w:rFonts w:eastAsia="Times New Roman"/>
        </w:rPr>
      </w:pPr>
      <w:r>
        <w:rPr>
          <w:rFonts w:eastAsia="Times New Roman"/>
          <w:color w:val="000000"/>
          <w:sz w:val="20"/>
          <w:szCs w:val="20"/>
        </w:rPr>
        <w:t>As of September 30, 2020 an</w:t>
      </w:r>
      <w:r>
        <w:rPr>
          <w:rFonts w:eastAsia="Times New Roman"/>
          <w:color w:val="000000"/>
          <w:sz w:val="20"/>
          <w:szCs w:val="20"/>
        </w:rPr>
        <w:t>d December 31, 2019, the Company had $0.3 million and $0.8 million, respectively, in capitalized contract costs. For the three months ended September 30, 2020 and 2019, amortized and expensed contract costs were $0.2 million. For the nine months ended Sept</w:t>
      </w:r>
      <w:r>
        <w:rPr>
          <w:rFonts w:eastAsia="Times New Roman"/>
          <w:color w:val="000000"/>
          <w:sz w:val="20"/>
          <w:szCs w:val="20"/>
        </w:rPr>
        <w:t xml:space="preserve">ember 30, 2020 and 2019, amortized and expensed contract costs were $0.9 million and $1.6 million, respectively. </w:t>
      </w:r>
    </w:p>
    <w:p w:rsidR="00000000" w:rsidRDefault="000242E9">
      <w:pPr>
        <w:ind w:hanging="360"/>
        <w:jc w:val="both"/>
        <w:divId w:val="1430586340"/>
        <w:rPr>
          <w:rFonts w:eastAsia="Times New Roman"/>
        </w:rPr>
      </w:pPr>
      <w:r>
        <w:rPr>
          <w:rFonts w:eastAsia="Times New Roman"/>
          <w:b/>
          <w:bCs/>
          <w:color w:val="000000"/>
          <w:sz w:val="20"/>
          <w:szCs w:val="20"/>
        </w:rPr>
        <w:t>4.Long-term Debt</w:t>
      </w:r>
    </w:p>
    <w:p w:rsidR="00000000" w:rsidRDefault="000242E9">
      <w:pPr>
        <w:jc w:val="both"/>
        <w:divId w:val="1225676040"/>
        <w:rPr>
          <w:rFonts w:eastAsia="Times New Roman"/>
        </w:rPr>
      </w:pPr>
      <w:r>
        <w:rPr>
          <w:rFonts w:eastAsia="Times New Roman"/>
          <w:b/>
          <w:bCs/>
          <w:i/>
          <w:iCs/>
          <w:color w:val="000000"/>
          <w:sz w:val="20"/>
          <w:szCs w:val="20"/>
        </w:rPr>
        <w:t>Issuance and Sale of Initial Notes</w:t>
      </w:r>
    </w:p>
    <w:p w:rsidR="00000000" w:rsidRDefault="000242E9">
      <w:pPr>
        <w:jc w:val="both"/>
        <w:divId w:val="1051004364"/>
        <w:rPr>
          <w:rFonts w:eastAsia="Times New Roman"/>
        </w:rPr>
      </w:pPr>
      <w:r>
        <w:rPr>
          <w:rFonts w:eastAsia="Times New Roman"/>
          <w:color w:val="000000"/>
          <w:sz w:val="20"/>
          <w:szCs w:val="20"/>
        </w:rPr>
        <w:t xml:space="preserve">On January 16, 2018, the Company entered into certain agreements with Starboard, pursuant </w:t>
      </w:r>
      <w:r>
        <w:rPr>
          <w:rFonts w:eastAsia="Times New Roman"/>
          <w:color w:val="000000"/>
          <w:sz w:val="20"/>
          <w:szCs w:val="20"/>
        </w:rPr>
        <w:t>to which, among other things, the Company issued and sold to Starboard $150.0 million of senior secured convertible notes (the "Initial Notes") in exchange for $85.0 million in cash and 2,600,000 shares of Common Stock valued at $65.0 million. Based upon t</w:t>
      </w:r>
      <w:r>
        <w:rPr>
          <w:rFonts w:eastAsia="Times New Roman"/>
          <w:color w:val="000000"/>
          <w:sz w:val="20"/>
          <w:szCs w:val="20"/>
        </w:rPr>
        <w:t>he fair value of the Common Stock on the closing date of the Initial Notes issuance, January 16, 2018, which was $24.45 per share, the difference of $1.4 million was recorded as an issuance discount to the Initial Notes. The Company also granted to Starboa</w:t>
      </w:r>
      <w:r>
        <w:rPr>
          <w:rFonts w:eastAsia="Times New Roman"/>
          <w:color w:val="000000"/>
          <w:sz w:val="20"/>
          <w:szCs w:val="20"/>
        </w:rPr>
        <w:t>rd an option (the "Notes Option") to acquire up to an additional $50.0 million in senior secured convertible notes (the "Option Notes" and together with the Initial Notes, the "Notes") and agreed to grant Starboard warrants to purchase 250,000 shares of Co</w:t>
      </w:r>
      <w:r>
        <w:rPr>
          <w:rFonts w:eastAsia="Times New Roman"/>
          <w:color w:val="000000"/>
          <w:sz w:val="20"/>
          <w:szCs w:val="20"/>
        </w:rPr>
        <w:t xml:space="preserve">mmon Stock at a price of $0.01 per share, as adjusted pursuant to the terms of the warrants. The warrants were issued on October 12, 2018 and were exercised in full by Starboard on April 3, 2019 for 323,448 shares of Common Stock. </w:t>
      </w:r>
    </w:p>
    <w:p w:rsidR="00000000" w:rsidRDefault="000242E9">
      <w:pPr>
        <w:jc w:val="both"/>
        <w:divId w:val="1781416077"/>
        <w:rPr>
          <w:rFonts w:eastAsia="Times New Roman"/>
        </w:rPr>
      </w:pPr>
      <w:r>
        <w:rPr>
          <w:rFonts w:eastAsia="Times New Roman"/>
          <w:color w:val="000000"/>
          <w:sz w:val="20"/>
          <w:szCs w:val="20"/>
        </w:rPr>
        <w:t>The conversion price for</w:t>
      </w:r>
      <w:r>
        <w:rPr>
          <w:rFonts w:eastAsia="Times New Roman"/>
          <w:color w:val="000000"/>
          <w:sz w:val="20"/>
          <w:szCs w:val="20"/>
        </w:rPr>
        <w:t xml:space="preserve"> the Notes (the "Conversion Price") is equal to a 30.0% premium to the volume weighted average trading prices ("VWAP") of the Common Stock on each trading day during the 10 consecutive trading days commencing on January 16, 2018, subject to a Conversion Pr</w:t>
      </w:r>
      <w:r>
        <w:rPr>
          <w:rFonts w:eastAsia="Times New Roman"/>
          <w:color w:val="000000"/>
          <w:sz w:val="20"/>
          <w:szCs w:val="20"/>
        </w:rPr>
        <w:t xml:space="preserve">ice floor of $28.00 per share. In accordance with the foregoing, the Conversion Price was set at $31.29. </w:t>
      </w:r>
    </w:p>
    <w:p w:rsidR="00000000" w:rsidRDefault="000242E9">
      <w:pPr>
        <w:jc w:val="both"/>
        <w:divId w:val="1997222821"/>
        <w:rPr>
          <w:rFonts w:eastAsia="Times New Roman"/>
        </w:rPr>
      </w:pPr>
      <w:r>
        <w:rPr>
          <w:rFonts w:eastAsia="Times New Roman"/>
          <w:color w:val="000000"/>
          <w:sz w:val="20"/>
          <w:szCs w:val="20"/>
        </w:rPr>
        <w:t>The Notes mature on January 16, 2022. Based upon the determination of the Conversion Price, interest on the Notes accrued at 6.0% per year through Jan</w:t>
      </w:r>
      <w:r>
        <w:rPr>
          <w:rFonts w:eastAsia="Times New Roman"/>
          <w:color w:val="000000"/>
          <w:sz w:val="20"/>
          <w:szCs w:val="20"/>
        </w:rPr>
        <w:t>uary 30, 2019, when the interest rate reset to 12.0% per year through January 30, 2020. The interest rate reset on January 30, 2020 and will remain at 12.0% (subject to certain conditions) until February 1, 2021 (the "Interest Reset Date"). On the Interest</w:t>
      </w:r>
      <w:r>
        <w:rPr>
          <w:rFonts w:eastAsia="Times New Roman"/>
          <w:color w:val="000000"/>
          <w:sz w:val="20"/>
          <w:szCs w:val="20"/>
        </w:rPr>
        <w:t xml:space="preserve"> Reset Date, the interest rate on the Notes will reset, and interest will thereafter accrue at a minimum of 4.0% per year and a maximum of 12.0% per year, based upon the then-applicable conversion premium in accordance with the terms of the Notes.</w:t>
      </w:r>
    </w:p>
    <w:p w:rsidR="00000000" w:rsidRDefault="000242E9">
      <w:pPr>
        <w:jc w:val="both"/>
        <w:divId w:val="1603954212"/>
        <w:rPr>
          <w:rFonts w:eastAsia="Times New Roman"/>
        </w:rPr>
      </w:pPr>
      <w:r>
        <w:rPr>
          <w:rFonts w:eastAsia="Times New Roman"/>
          <w:color w:val="000000"/>
          <w:sz w:val="20"/>
          <w:szCs w:val="20"/>
        </w:rPr>
        <w:t>Interest</w:t>
      </w:r>
      <w:r>
        <w:rPr>
          <w:rFonts w:eastAsia="Times New Roman"/>
          <w:color w:val="000000"/>
          <w:sz w:val="20"/>
          <w:szCs w:val="20"/>
        </w:rPr>
        <w:t xml:space="preserve"> on the Notes is payable on a quarterly basis in arrears from April 1, 2018, at the option of the Company, in cash, or, subject to certain conditions, through the issuance by the Company of additional shares of Common Stock ("PIK Interest Shares"). Any PIK</w:t>
      </w:r>
      <w:r>
        <w:rPr>
          <w:rFonts w:eastAsia="Times New Roman"/>
          <w:color w:val="000000"/>
          <w:sz w:val="20"/>
          <w:szCs w:val="20"/>
        </w:rPr>
        <w:t xml:space="preserve"> Interest Shares so issued will be valued at the arithmetic average of the VWAP of the Common Stock on each trading day during the 10 consecutive trading days ending immediately preceding the applicable interest payment date. On each of January 2, 2020, Ap</w:t>
      </w:r>
      <w:r>
        <w:rPr>
          <w:rFonts w:eastAsia="Times New Roman"/>
          <w:color w:val="000000"/>
          <w:sz w:val="20"/>
          <w:szCs w:val="20"/>
        </w:rPr>
        <w:t>ril 1, 2020 and July 1, 2020, the Company paid quarterly accrued interest of $6.1 million in cash. On October 1, 2020, the Company paid quarterly accrued interest of $6.1 million through the issuance of 1,474,201 PIK Interest Shares and $3.1 million in cas</w:t>
      </w:r>
      <w:r>
        <w:rPr>
          <w:rFonts w:eastAsia="Times New Roman"/>
          <w:color w:val="000000"/>
          <w:sz w:val="20"/>
          <w:szCs w:val="20"/>
        </w:rPr>
        <w:t xml:space="preserve">h. Liabilities pertaining to the cash payment and issuance of PIK Interest Shares were classified within accrued expenses and other non-current liabilities, respectively, within the Condensed Consolidated Financial Statements as of September 30, 2020. </w:t>
      </w:r>
    </w:p>
    <w:p w:rsidR="00000000" w:rsidRDefault="000242E9">
      <w:pPr>
        <w:jc w:val="both"/>
        <w:divId w:val="203059289"/>
        <w:rPr>
          <w:rFonts w:eastAsia="Times New Roman"/>
        </w:rPr>
      </w:pPr>
      <w:r>
        <w:rPr>
          <w:rFonts w:eastAsia="Times New Roman"/>
          <w:color w:val="000000"/>
          <w:sz w:val="20"/>
          <w:szCs w:val="20"/>
        </w:rPr>
        <w:t>The Notes contain certain affirmative and restrictive covenants with which the Company must comply, including covenants with respect to (i) limitations on additional indebtedness, (ii) limitations on liens, (iii) limitations on certain payments, (iv) maint</w:t>
      </w:r>
      <w:r>
        <w:rPr>
          <w:rFonts w:eastAsia="Times New Roman"/>
          <w:color w:val="000000"/>
          <w:sz w:val="20"/>
          <w:szCs w:val="20"/>
        </w:rPr>
        <w:t>enance of certain minimum cash balances (currently $40.0 million), and (v) the timely filing of certain disclosures with the SEC. The Company is in compliance with its Notes covenants as of the date of these financial statements, inclusive of the Company's</w:t>
      </w:r>
      <w:r>
        <w:rPr>
          <w:rFonts w:eastAsia="Times New Roman"/>
          <w:color w:val="000000"/>
          <w:sz w:val="20"/>
          <w:szCs w:val="20"/>
        </w:rPr>
        <w:t xml:space="preserve"> restricted cash balances.</w:t>
      </w:r>
    </w:p>
    <w:p w:rsidR="00000000" w:rsidRDefault="000242E9">
      <w:pPr>
        <w:jc w:val="center"/>
        <w:divId w:val="1049956026"/>
        <w:rPr>
          <w:rFonts w:eastAsia="Times New Roman"/>
        </w:rPr>
      </w:pPr>
      <w:r>
        <w:rPr>
          <w:rFonts w:eastAsia="Times New Roman"/>
          <w:color w:val="000000"/>
          <w:sz w:val="20"/>
          <w:szCs w:val="20"/>
        </w:rPr>
        <w:t>13</w:t>
      </w:r>
    </w:p>
    <w:p w:rsidR="00000000" w:rsidRDefault="000242E9">
      <w:pPr>
        <w:rPr>
          <w:rFonts w:eastAsia="Times New Roman"/>
        </w:rPr>
      </w:pPr>
      <w:r>
        <w:rPr>
          <w:rFonts w:eastAsia="Times New Roman"/>
        </w:rPr>
        <w:pict>
          <v:rect id="_x0000_i1040" style="width:0;height:1.5pt" o:hralign="center" o:hrstd="t" o:hr="t" fillcolor="#a0a0a0" stroked="f"/>
        </w:pict>
      </w:r>
    </w:p>
    <w:p w:rsidR="00000000" w:rsidRDefault="000242E9">
      <w:pPr>
        <w:jc w:val="both"/>
        <w:divId w:val="688222795"/>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688222795"/>
        <w:rPr>
          <w:rFonts w:eastAsia="Times New Roman"/>
        </w:rPr>
      </w:pPr>
    </w:p>
    <w:p w:rsidR="00000000" w:rsidRDefault="000242E9">
      <w:pPr>
        <w:jc w:val="both"/>
        <w:divId w:val="1486123074"/>
        <w:rPr>
          <w:rFonts w:eastAsia="Times New Roman"/>
        </w:rPr>
      </w:pPr>
      <w:r>
        <w:rPr>
          <w:rFonts w:eastAsia="Times New Roman"/>
          <w:b/>
          <w:bCs/>
          <w:i/>
          <w:iCs/>
          <w:color w:val="000000"/>
          <w:sz w:val="20"/>
          <w:szCs w:val="20"/>
        </w:rPr>
        <w:t>Issuance and Sale of Option Notes</w:t>
      </w:r>
    </w:p>
    <w:p w:rsidR="00000000" w:rsidRDefault="000242E9">
      <w:pPr>
        <w:jc w:val="both"/>
        <w:divId w:val="1127898191"/>
        <w:rPr>
          <w:rFonts w:eastAsia="Times New Roman"/>
        </w:rPr>
      </w:pPr>
      <w:r>
        <w:rPr>
          <w:rFonts w:eastAsia="Times New Roman"/>
          <w:color w:val="000000"/>
          <w:sz w:val="20"/>
          <w:szCs w:val="20"/>
        </w:rPr>
        <w:t>On May 17, 2018, the Notes Option was exercised by Starboard, pursuant to whic</w:t>
      </w:r>
      <w:r>
        <w:rPr>
          <w:rFonts w:eastAsia="Times New Roman"/>
          <w:color w:val="000000"/>
          <w:sz w:val="20"/>
          <w:szCs w:val="20"/>
        </w:rPr>
        <w:t>h the Company issued and sold to Starboard $50.0 million of Option Notes in exchange for $15.0 million in cash and 1,400,000 shares of Common Stock valued at $35.0 million. Based upon the fair value of the Common Stock on the closing date of the Option Not</w:t>
      </w:r>
      <w:r>
        <w:rPr>
          <w:rFonts w:eastAsia="Times New Roman"/>
          <w:color w:val="000000"/>
          <w:sz w:val="20"/>
          <w:szCs w:val="20"/>
        </w:rPr>
        <w:t>es issuance, May 17, 2018, which was $21.75 per share, the difference of $4.6 million was recorded as an issuance discount to the Option Notes. The Option Notes have the same terms, including maturity, interest rate, convertibility, and security, as the In</w:t>
      </w:r>
      <w:r>
        <w:rPr>
          <w:rFonts w:eastAsia="Times New Roman"/>
          <w:color w:val="000000"/>
          <w:sz w:val="20"/>
          <w:szCs w:val="20"/>
        </w:rPr>
        <w:t>itial Notes, except with regard to the date from which interest began to accrue, which was May 17, 2018.</w:t>
      </w:r>
    </w:p>
    <w:p w:rsidR="00000000" w:rsidRDefault="000242E9">
      <w:pPr>
        <w:jc w:val="both"/>
        <w:divId w:val="1922717310"/>
        <w:rPr>
          <w:rFonts w:eastAsia="Times New Roman"/>
        </w:rPr>
      </w:pPr>
      <w:r>
        <w:rPr>
          <w:rFonts w:eastAsia="Times New Roman"/>
          <w:b/>
          <w:bCs/>
          <w:i/>
          <w:iCs/>
          <w:color w:val="000000"/>
          <w:sz w:val="20"/>
          <w:szCs w:val="20"/>
        </w:rPr>
        <w:t>Financing Derivatives</w:t>
      </w:r>
    </w:p>
    <w:p w:rsidR="00000000" w:rsidRDefault="000242E9">
      <w:pPr>
        <w:jc w:val="both"/>
        <w:divId w:val="1378167006"/>
        <w:rPr>
          <w:rFonts w:eastAsia="Times New Roman"/>
        </w:rPr>
      </w:pPr>
      <w:r>
        <w:rPr>
          <w:rFonts w:eastAsia="Times New Roman"/>
          <w:color w:val="000000"/>
          <w:sz w:val="20"/>
          <w:szCs w:val="20"/>
        </w:rPr>
        <w:t>The Notes contain an interest rate reset feature, make-whole change of control redemption feature, and (until August 5, 2020) a q</w:t>
      </w:r>
      <w:r>
        <w:rPr>
          <w:rFonts w:eastAsia="Times New Roman"/>
          <w:color w:val="000000"/>
          <w:sz w:val="20"/>
          <w:szCs w:val="20"/>
        </w:rPr>
        <w:t xml:space="preserve">ualifying change of control redemption feature which the Company determined represent embedded derivatives that must be bifurcated and accounted for separately from the Notes. Refer to </w:t>
      </w:r>
      <w:hyperlink w:anchor="if7a518a588154f7ab52f3429da641a28_6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further information on the Level 3 inputs utilized for the determination of the fair value of the derivatives.</w:t>
      </w:r>
    </w:p>
    <w:p w:rsidR="00000000" w:rsidRDefault="000242E9">
      <w:pPr>
        <w:jc w:val="both"/>
        <w:divId w:val="1504511320"/>
        <w:rPr>
          <w:rFonts w:eastAsia="Times New Roman"/>
        </w:rPr>
      </w:pPr>
      <w:r>
        <w:rPr>
          <w:rFonts w:eastAsia="Times New Roman"/>
          <w:color w:val="000000"/>
          <w:sz w:val="20"/>
          <w:szCs w:val="20"/>
        </w:rPr>
        <w:t>The balance of the Notes as of September 30, 2020 and December 31, 2019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76"/>
        <w:gridCol w:w="36"/>
        <w:gridCol w:w="56"/>
        <w:gridCol w:w="630"/>
        <w:gridCol w:w="36"/>
        <w:gridCol w:w="36"/>
        <w:gridCol w:w="36"/>
        <w:gridCol w:w="36"/>
        <w:gridCol w:w="63"/>
        <w:gridCol w:w="623"/>
        <w:gridCol w:w="36"/>
        <w:gridCol w:w="36"/>
        <w:gridCol w:w="36"/>
        <w:gridCol w:w="36"/>
        <w:gridCol w:w="110"/>
        <w:gridCol w:w="672"/>
        <w:gridCol w:w="36"/>
        <w:gridCol w:w="36"/>
        <w:gridCol w:w="36"/>
        <w:gridCol w:w="36"/>
        <w:gridCol w:w="110"/>
        <w:gridCol w:w="673"/>
        <w:gridCol w:w="36"/>
        <w:gridCol w:w="36"/>
        <w:gridCol w:w="36"/>
        <w:gridCol w:w="36"/>
        <w:gridCol w:w="111"/>
        <w:gridCol w:w="673"/>
        <w:gridCol w:w="36"/>
        <w:gridCol w:w="36"/>
        <w:gridCol w:w="36"/>
        <w:gridCol w:w="36"/>
        <w:gridCol w:w="110"/>
        <w:gridCol w:w="674"/>
        <w:gridCol w:w="36"/>
        <w:gridCol w:w="36"/>
        <w:gridCol w:w="36"/>
        <w:gridCol w:w="36"/>
        <w:gridCol w:w="36"/>
        <w:gridCol w:w="36"/>
        <w:gridCol w:w="36"/>
        <w:gridCol w:w="36"/>
        <w:gridCol w:w="36"/>
        <w:gridCol w:w="36"/>
        <w:gridCol w:w="36"/>
        <w:gridCol w:w="36"/>
      </w:tblGrid>
      <w:tr w:rsidR="00000000">
        <w:trPr>
          <w:divId w:val="606080941"/>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606080941"/>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606080941"/>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Issuance Discount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Net Carrying Value</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Initial Notes, due January 16,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18.8%</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141,716 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Option Notes, due January 16, 2022</w:t>
            </w: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14.9%</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50,500 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(1,580)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48,817 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204,000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(11,518)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(1,949)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190,533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06080941"/>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792"/>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4"/>
        <w:gridCol w:w="144"/>
        <w:gridCol w:w="480"/>
        <w:gridCol w:w="1440"/>
        <w:gridCol w:w="480"/>
        <w:gridCol w:w="480"/>
        <w:gridCol w:w="480"/>
        <w:gridCol w:w="480"/>
        <w:gridCol w:w="480"/>
        <w:gridCol w:w="480"/>
        <w:gridCol w:w="480"/>
        <w:gridCol w:w="480"/>
        <w:gridCol w:w="480"/>
      </w:tblGrid>
      <w:tr w:rsidR="00000000">
        <w:trPr>
          <w:jc w:val="center"/>
        </w:trPr>
        <w:tc>
          <w:tcPr>
            <w:tcW w:w="50" w:type="pct"/>
            <w:vAlign w:val="center"/>
            <w:hideMark/>
          </w:tcPr>
          <w:p w:rsidR="00000000" w:rsidRDefault="000242E9">
            <w:pPr>
              <w:jc w:val="center"/>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Issuance Discount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Net Carrying Value</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Initial Notes, due January 16,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18.8%</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136,091 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Option Notes, due January 16, 2022</w:t>
            </w: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14.9%</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50,500 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(2,365)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47,984 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204,000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(17,068)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(2,857)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184,075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bl>
    <w:p w:rsidR="00000000" w:rsidRDefault="000242E9">
      <w:pPr>
        <w:jc w:val="both"/>
        <w:divId w:val="1132014147"/>
        <w:rPr>
          <w:rFonts w:eastAsia="Times New Roman"/>
        </w:rPr>
      </w:pPr>
      <w:r>
        <w:rPr>
          <w:rFonts w:eastAsia="Times New Roman"/>
          <w:color w:val="000000"/>
          <w:sz w:val="20"/>
          <w:szCs w:val="20"/>
        </w:rPr>
        <w:t>Due to the interest rate re</w:t>
      </w:r>
      <w:r>
        <w:rPr>
          <w:rFonts w:eastAsia="Times New Roman"/>
          <w:color w:val="000000"/>
          <w:sz w:val="20"/>
          <w:szCs w:val="20"/>
        </w:rPr>
        <w:t>set feature of the Notes, the potential future cash flows associated with the Notes are variable. Accordingly, the accretion schedule of debt discount and the amortization schedule of deferred financing costs are updated annually to reflect periodic change</w:t>
      </w:r>
      <w:r>
        <w:rPr>
          <w:rFonts w:eastAsia="Times New Roman"/>
          <w:color w:val="000000"/>
          <w:sz w:val="20"/>
          <w:szCs w:val="20"/>
        </w:rPr>
        <w:t>s in the future cash flows using the effective interest rate on a prospective basis.</w:t>
      </w:r>
    </w:p>
    <w:p w:rsidR="00000000" w:rsidRDefault="000242E9">
      <w:pPr>
        <w:jc w:val="both"/>
        <w:divId w:val="1361853569"/>
        <w:rPr>
          <w:rFonts w:eastAsia="Times New Roman"/>
        </w:rPr>
      </w:pPr>
      <w:r>
        <w:rPr>
          <w:rFonts w:eastAsia="Times New Roman"/>
          <w:color w:val="000000"/>
          <w:sz w:val="20"/>
          <w:szCs w:val="20"/>
        </w:rPr>
        <w:t>The Company amortized $0.3 million and $0.9 million in deferred financing costs related to the Notes during the three and nine months ended September 30, 2020, respectivel</w:t>
      </w:r>
      <w:r>
        <w:rPr>
          <w:rFonts w:eastAsia="Times New Roman"/>
          <w:color w:val="000000"/>
          <w:sz w:val="20"/>
          <w:szCs w:val="20"/>
        </w:rPr>
        <w:t xml:space="preserve">y; and $0.3 million and $0.8 million during the three and nine months ended September 30, 2019, respectively. The Company accreted $1.9 million and $5.5 million in issuance discount related to the Notes during the three and nine months ended September 30, </w:t>
      </w:r>
      <w:r>
        <w:rPr>
          <w:rFonts w:eastAsia="Times New Roman"/>
          <w:color w:val="000000"/>
          <w:sz w:val="20"/>
          <w:szCs w:val="20"/>
        </w:rPr>
        <w:t>2020, respectively; and $1.6 million and $4.6 million during the three and nine months ended September 30, 2019, respectively.</w:t>
      </w:r>
    </w:p>
    <w:p w:rsidR="00000000" w:rsidRDefault="000242E9">
      <w:pPr>
        <w:jc w:val="both"/>
        <w:divId w:val="1033076631"/>
        <w:rPr>
          <w:rFonts w:eastAsia="Times New Roman"/>
        </w:rPr>
      </w:pPr>
      <w:r>
        <w:rPr>
          <w:rFonts w:eastAsia="Times New Roman"/>
          <w:color w:val="000000"/>
          <w:sz w:val="20"/>
          <w:szCs w:val="20"/>
        </w:rPr>
        <w:t xml:space="preserve">The estimated fair value of the Notes, using Level 3 inputs based on interest rates available for debt with terms and maturities </w:t>
      </w:r>
      <w:r>
        <w:rPr>
          <w:rFonts w:eastAsia="Times New Roman"/>
          <w:color w:val="000000"/>
          <w:sz w:val="20"/>
          <w:szCs w:val="20"/>
        </w:rPr>
        <w:t>similar to the Company's Notes, was $177.1 million as of September 30, 2020.</w:t>
      </w:r>
    </w:p>
    <w:p w:rsidR="00000000" w:rsidRDefault="000242E9">
      <w:pPr>
        <w:jc w:val="both"/>
        <w:divId w:val="2055033879"/>
        <w:rPr>
          <w:rFonts w:eastAsia="Times New Roman"/>
        </w:rPr>
      </w:pPr>
      <w:r>
        <w:rPr>
          <w:rFonts w:eastAsia="Times New Roman"/>
          <w:b/>
          <w:bCs/>
          <w:i/>
          <w:iCs/>
          <w:color w:val="000000"/>
          <w:sz w:val="20"/>
          <w:szCs w:val="20"/>
        </w:rPr>
        <w:t>Guarantee and Security of Notes</w:t>
      </w:r>
    </w:p>
    <w:p w:rsidR="00000000" w:rsidRDefault="000242E9">
      <w:pPr>
        <w:jc w:val="both"/>
        <w:divId w:val="386806846"/>
        <w:rPr>
          <w:rFonts w:eastAsia="Times New Roman"/>
        </w:rPr>
      </w:pPr>
      <w:r>
        <w:rPr>
          <w:rFonts w:eastAsia="Times New Roman"/>
          <w:color w:val="000000"/>
          <w:sz w:val="20"/>
          <w:szCs w:val="20"/>
        </w:rPr>
        <w:t>The Notes are guaranteed by certain of the Company's direct and indirect wholly-owned domestic subsidiaries (the "Guarantors") and are secured by a</w:t>
      </w:r>
      <w:r>
        <w:rPr>
          <w:rFonts w:eastAsia="Times New Roman"/>
          <w:color w:val="000000"/>
          <w:sz w:val="20"/>
          <w:szCs w:val="20"/>
        </w:rPr>
        <w:t xml:space="preserve"> security interest in substantially all of the assets of the Company and the Guarantors, pursuant to a Guaranty, dated as of January 16, 2018, entered into by the Guarantors, and a Pledge and Security Agreement, dated as of January 16, 2018, among the Comp</w:t>
      </w:r>
      <w:r>
        <w:rPr>
          <w:rFonts w:eastAsia="Times New Roman"/>
          <w:color w:val="000000"/>
          <w:sz w:val="20"/>
          <w:szCs w:val="20"/>
        </w:rPr>
        <w:t xml:space="preserve">any, the Guarantors and Starboard Value and Opportunity Master Fund Ltd. as collateral agent. </w:t>
      </w:r>
    </w:p>
    <w:p w:rsidR="00000000" w:rsidRDefault="000242E9">
      <w:pPr>
        <w:jc w:val="both"/>
        <w:divId w:val="1172719370"/>
        <w:rPr>
          <w:rFonts w:eastAsia="Times New Roman"/>
        </w:rPr>
      </w:pPr>
      <w:r>
        <w:rPr>
          <w:rFonts w:eastAsia="Times New Roman"/>
          <w:b/>
          <w:bCs/>
          <w:i/>
          <w:iCs/>
          <w:color w:val="000000"/>
          <w:sz w:val="20"/>
          <w:szCs w:val="20"/>
        </w:rPr>
        <w:t>Issuance of Secured Term Note</w:t>
      </w:r>
    </w:p>
    <w:p w:rsidR="00000000" w:rsidRDefault="000242E9">
      <w:pPr>
        <w:jc w:val="both"/>
        <w:divId w:val="1500190484"/>
        <w:rPr>
          <w:rFonts w:eastAsia="Times New Roman"/>
        </w:rPr>
      </w:pPr>
      <w:r>
        <w:rPr>
          <w:rFonts w:eastAsia="Times New Roman"/>
          <w:color w:val="000000"/>
          <w:sz w:val="20"/>
          <w:szCs w:val="20"/>
        </w:rPr>
        <w:t>On December 31, 2019, the Company's wholly owned subsidiary, Rentrak B.V., entered into an agreement with the Noteholder for the Secured Term Note for aggregate gross proceeds of $13.0 million. The Secured Term Note, which is cash collateralized, matures o</w:t>
      </w:r>
      <w:r>
        <w:rPr>
          <w:rFonts w:eastAsia="Times New Roman"/>
          <w:color w:val="000000"/>
          <w:sz w:val="20"/>
          <w:szCs w:val="20"/>
        </w:rPr>
        <w:t>n December 31, 2021 and has an annual interest rate of 9.75%. Interest is payable in arrears on the last business day of each calendar month commencing on January 31, 2020.</w:t>
      </w:r>
    </w:p>
    <w:p w:rsidR="00000000" w:rsidRDefault="000242E9">
      <w:pPr>
        <w:jc w:val="both"/>
        <w:divId w:val="2052728385"/>
        <w:rPr>
          <w:rFonts w:eastAsia="Times New Roman"/>
        </w:rPr>
      </w:pPr>
      <w:r>
        <w:rPr>
          <w:rFonts w:eastAsia="Times New Roman"/>
          <w:color w:val="000000"/>
          <w:sz w:val="20"/>
          <w:szCs w:val="20"/>
        </w:rPr>
        <w:t>The Secured Term Note contains certain affirmative and restrictive covenants with w</w:t>
      </w:r>
      <w:r>
        <w:rPr>
          <w:rFonts w:eastAsia="Times New Roman"/>
          <w:color w:val="000000"/>
          <w:sz w:val="20"/>
          <w:szCs w:val="20"/>
        </w:rPr>
        <w:t xml:space="preserve">hich Rentrak B.V. must comply, including (i) maintenance of a minimum cash collateral balance of $14.8 million, (ii) provision of certain financial statements, (iii) limitations on </w:t>
      </w:r>
    </w:p>
    <w:p w:rsidR="00000000" w:rsidRDefault="000242E9">
      <w:pPr>
        <w:jc w:val="center"/>
        <w:divId w:val="701856733"/>
        <w:rPr>
          <w:rFonts w:eastAsia="Times New Roman"/>
        </w:rPr>
      </w:pPr>
      <w:r>
        <w:rPr>
          <w:rFonts w:eastAsia="Times New Roman"/>
          <w:color w:val="000000"/>
          <w:sz w:val="20"/>
          <w:szCs w:val="20"/>
        </w:rPr>
        <w:t>14</w:t>
      </w:r>
    </w:p>
    <w:p w:rsidR="00000000" w:rsidRDefault="000242E9">
      <w:pPr>
        <w:rPr>
          <w:rFonts w:eastAsia="Times New Roman"/>
        </w:rPr>
      </w:pPr>
      <w:r>
        <w:rPr>
          <w:rFonts w:eastAsia="Times New Roman"/>
        </w:rPr>
        <w:pict>
          <v:rect id="_x0000_i1041" style="width:0;height:1.5pt" o:hralign="center" o:hrstd="t" o:hr="t" fillcolor="#a0a0a0" stroked="f"/>
        </w:pict>
      </w:r>
    </w:p>
    <w:p w:rsidR="00000000" w:rsidRDefault="000242E9">
      <w:pPr>
        <w:jc w:val="both"/>
        <w:divId w:val="1691372202"/>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691372202"/>
        <w:rPr>
          <w:rFonts w:eastAsia="Times New Roman"/>
        </w:rPr>
      </w:pPr>
    </w:p>
    <w:p w:rsidR="00000000" w:rsidRDefault="000242E9">
      <w:pPr>
        <w:jc w:val="both"/>
        <w:divId w:val="1737513927"/>
        <w:rPr>
          <w:rFonts w:eastAsia="Times New Roman"/>
        </w:rPr>
      </w:pPr>
      <w:r>
        <w:rPr>
          <w:rFonts w:eastAsia="Times New Roman"/>
          <w:color w:val="000000"/>
          <w:sz w:val="20"/>
          <w:szCs w:val="20"/>
        </w:rPr>
        <w:t>additional indebtedness and liens, (iv) limitations on repayment of debt, (v) limitations on repurchase of stock, and (vi) limitations on disposition of assets. Rentrak B.V. is in compliance with the Secured Term</w:t>
      </w:r>
      <w:r>
        <w:rPr>
          <w:rFonts w:eastAsia="Times New Roman"/>
          <w:color w:val="000000"/>
          <w:sz w:val="20"/>
          <w:szCs w:val="20"/>
        </w:rPr>
        <w:t xml:space="preserve"> Note covenants as of September 30, 2020.</w:t>
      </w:r>
    </w:p>
    <w:p w:rsidR="00000000" w:rsidRDefault="000242E9">
      <w:pPr>
        <w:jc w:val="both"/>
        <w:divId w:val="86387275"/>
        <w:rPr>
          <w:rFonts w:eastAsia="Times New Roman"/>
        </w:rPr>
      </w:pPr>
      <w:r>
        <w:rPr>
          <w:rFonts w:eastAsia="Times New Roman"/>
          <w:color w:val="000000"/>
          <w:sz w:val="20"/>
          <w:szCs w:val="20"/>
        </w:rPr>
        <w:t>The balance of the Secured Term Note as of September 30, 2020 and December 31, 2019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556"/>
        <w:gridCol w:w="36"/>
        <w:gridCol w:w="56"/>
        <w:gridCol w:w="669"/>
        <w:gridCol w:w="36"/>
        <w:gridCol w:w="36"/>
        <w:gridCol w:w="36"/>
        <w:gridCol w:w="36"/>
        <w:gridCol w:w="63"/>
        <w:gridCol w:w="662"/>
        <w:gridCol w:w="36"/>
        <w:gridCol w:w="36"/>
        <w:gridCol w:w="36"/>
        <w:gridCol w:w="36"/>
        <w:gridCol w:w="110"/>
        <w:gridCol w:w="701"/>
        <w:gridCol w:w="36"/>
        <w:gridCol w:w="36"/>
        <w:gridCol w:w="36"/>
        <w:gridCol w:w="36"/>
        <w:gridCol w:w="111"/>
        <w:gridCol w:w="701"/>
        <w:gridCol w:w="36"/>
        <w:gridCol w:w="36"/>
        <w:gridCol w:w="36"/>
        <w:gridCol w:w="36"/>
        <w:gridCol w:w="110"/>
        <w:gridCol w:w="702"/>
        <w:gridCol w:w="36"/>
        <w:gridCol w:w="36"/>
        <w:gridCol w:w="36"/>
        <w:gridCol w:w="36"/>
        <w:gridCol w:w="36"/>
        <w:gridCol w:w="36"/>
      </w:tblGrid>
      <w:tr w:rsidR="00000000">
        <w:trPr>
          <w:divId w:val="1542396535"/>
          <w:jc w:val="center"/>
        </w:trPr>
        <w:tc>
          <w:tcPr>
            <w:tcW w:w="50" w:type="pct"/>
            <w:vAlign w:val="center"/>
            <w:hideMark/>
          </w:tcPr>
          <w:p w:rsidR="00000000" w:rsidRDefault="000242E9">
            <w:pPr>
              <w:jc w:val="both"/>
              <w:rPr>
                <w:rFonts w:eastAsia="Times New Roman"/>
              </w:rPr>
            </w:pPr>
          </w:p>
        </w:tc>
        <w:tc>
          <w:tcPr>
            <w:tcW w:w="222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542396535"/>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542396535"/>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542396535"/>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Net Carrying Value</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5423965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Secured Term Note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9.75%</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12.8%</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13,000 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(435)</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12,565 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702"/>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2"/>
        <w:gridCol w:w="144"/>
        <w:gridCol w:w="144"/>
        <w:gridCol w:w="144"/>
        <w:gridCol w:w="144"/>
        <w:gridCol w:w="144"/>
        <w:gridCol w:w="774"/>
        <w:gridCol w:w="144"/>
        <w:gridCol w:w="480"/>
        <w:gridCol w:w="1440"/>
        <w:gridCol w:w="1440"/>
        <w:gridCol w:w="1440"/>
        <w:gridCol w:w="1440"/>
      </w:tblGrid>
      <w:tr w:rsidR="00000000">
        <w:trPr>
          <w:jc w:val="center"/>
        </w:trPr>
        <w:tc>
          <w:tcPr>
            <w:tcW w:w="50" w:type="pct"/>
            <w:vAlign w:val="center"/>
            <w:hideMark/>
          </w:tcPr>
          <w:p w:rsidR="00000000" w:rsidRDefault="000242E9">
            <w:pPr>
              <w:jc w:val="center"/>
              <w:rPr>
                <w:rFonts w:eastAsia="Times New Roman"/>
              </w:rPr>
            </w:pPr>
          </w:p>
        </w:tc>
        <w:tc>
          <w:tcPr>
            <w:tcW w:w="222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 except interest rates)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Stated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Effective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Face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Deferred Financing Costs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Net Carrying Value</w:t>
            </w:r>
          </w:p>
        </w:tc>
        <w:tc>
          <w:tcPr>
            <w:tcW w:w="0" w:type="auto"/>
            <w:vAlign w:val="center"/>
            <w:hideMark/>
          </w:tcPr>
          <w:p w:rsidR="00000000" w:rsidRDefault="000242E9">
            <w:pPr>
              <w:jc w:val="center"/>
              <w:rPr>
                <w:rFonts w:eastAsia="Times New Roman"/>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Secured Term Note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9.75%</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12.2%</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13,000 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(537)</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12,463 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vAlign w:val="center"/>
            <w:hideMark/>
          </w:tcPr>
          <w:p w:rsidR="00000000" w:rsidRDefault="000242E9">
            <w:pPr>
              <w:jc w:val="right"/>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bl>
    <w:p w:rsidR="00000000" w:rsidRDefault="000242E9">
      <w:pPr>
        <w:jc w:val="both"/>
        <w:divId w:val="1125735467"/>
        <w:rPr>
          <w:rFonts w:eastAsia="Times New Roman"/>
        </w:rPr>
      </w:pPr>
      <w:r>
        <w:rPr>
          <w:rFonts w:eastAsia="Times New Roman"/>
          <w:color w:val="000000"/>
          <w:sz w:val="20"/>
          <w:szCs w:val="20"/>
        </w:rPr>
        <w:t>The Company amortized $0.1 million and $0.2 million in deferred financing costs related to the Secured Term No</w:t>
      </w:r>
      <w:r>
        <w:rPr>
          <w:rFonts w:eastAsia="Times New Roman"/>
          <w:color w:val="000000"/>
          <w:sz w:val="20"/>
          <w:szCs w:val="20"/>
        </w:rPr>
        <w:t xml:space="preserve">te during the three and nine months ended September 30, 2020, respectively. </w:t>
      </w:r>
    </w:p>
    <w:p w:rsidR="00000000" w:rsidRDefault="000242E9">
      <w:pPr>
        <w:jc w:val="both"/>
        <w:divId w:val="2050184409"/>
        <w:rPr>
          <w:rFonts w:eastAsia="Times New Roman"/>
        </w:rPr>
      </w:pPr>
      <w:r>
        <w:rPr>
          <w:rFonts w:eastAsia="Times New Roman"/>
          <w:color w:val="000000"/>
          <w:sz w:val="20"/>
          <w:szCs w:val="20"/>
        </w:rPr>
        <w:t xml:space="preserve">The estimated fair value of the Secured Term Note, using Level 2 inputs based on interest rates available for debt with terms and maturities similar to the Company's Secured Term </w:t>
      </w:r>
      <w:r>
        <w:rPr>
          <w:rFonts w:eastAsia="Times New Roman"/>
          <w:color w:val="000000"/>
          <w:sz w:val="20"/>
          <w:szCs w:val="20"/>
        </w:rPr>
        <w:t>Note, was $14.6 million as of September 30, 2020.</w:t>
      </w:r>
    </w:p>
    <w:p w:rsidR="00000000" w:rsidRDefault="000242E9">
      <w:pPr>
        <w:jc w:val="both"/>
        <w:divId w:val="503668245"/>
        <w:rPr>
          <w:rFonts w:eastAsia="Times New Roman"/>
        </w:rPr>
      </w:pPr>
      <w:r>
        <w:rPr>
          <w:rFonts w:eastAsia="Times New Roman"/>
          <w:b/>
          <w:bCs/>
          <w:i/>
          <w:iCs/>
          <w:color w:val="000000"/>
          <w:sz w:val="20"/>
          <w:szCs w:val="20"/>
        </w:rPr>
        <w:t>Letters of Credit</w:t>
      </w:r>
    </w:p>
    <w:p w:rsidR="00000000" w:rsidRDefault="000242E9">
      <w:pPr>
        <w:jc w:val="both"/>
        <w:divId w:val="1572933694"/>
        <w:rPr>
          <w:rFonts w:eastAsia="Times New Roman"/>
        </w:rPr>
      </w:pPr>
      <w:r>
        <w:rPr>
          <w:rFonts w:eastAsia="Times New Roman"/>
          <w:color w:val="000000"/>
          <w:sz w:val="20"/>
          <w:szCs w:val="20"/>
        </w:rPr>
        <w:t xml:space="preserve">In 2018, the Company entered into a Security Agreement with Wells Fargo Bank, N.A. to issue standby letters of credit. As of September 30, 2020, $3.3 </w:t>
      </w:r>
      <w:r>
        <w:rPr>
          <w:rFonts w:eastAsia="Times New Roman"/>
          <w:color w:val="000000"/>
          <w:sz w:val="20"/>
          <w:szCs w:val="20"/>
        </w:rPr>
        <w:t>million in letters of credit are outstanding and are cash collateralized under the Security Agreement with Wells Fargo Bank, N.A.</w:t>
      </w:r>
    </w:p>
    <w:p w:rsidR="00000000" w:rsidRDefault="000242E9">
      <w:pPr>
        <w:jc w:val="both"/>
        <w:divId w:val="338435561"/>
        <w:rPr>
          <w:rFonts w:eastAsia="Times New Roman"/>
        </w:rPr>
      </w:pPr>
      <w:r>
        <w:rPr>
          <w:rFonts w:eastAsia="Times New Roman"/>
          <w:b/>
          <w:bCs/>
          <w:i/>
          <w:iCs/>
          <w:color w:val="000000"/>
          <w:sz w:val="20"/>
          <w:szCs w:val="20"/>
        </w:rPr>
        <w:t>Failed Sale-Leaseback Transaction</w:t>
      </w:r>
    </w:p>
    <w:p w:rsidR="00000000" w:rsidRDefault="000242E9">
      <w:pPr>
        <w:jc w:val="both"/>
        <w:divId w:val="310788556"/>
        <w:rPr>
          <w:rFonts w:eastAsia="Times New Roman"/>
        </w:rPr>
      </w:pPr>
      <w:r>
        <w:rPr>
          <w:rFonts w:eastAsia="Times New Roman"/>
          <w:color w:val="000000"/>
          <w:sz w:val="20"/>
          <w:szCs w:val="20"/>
        </w:rPr>
        <w:t>In June 2019, the Company entered into a sale-leaseback arrangement with a vendor to provide $4.3 million in cash proceeds for previously acquired computer and other equipment. The arrangement is repayable over a 24-month term for total consideration of $4</w:t>
      </w:r>
      <w:r>
        <w:rPr>
          <w:rFonts w:eastAsia="Times New Roman"/>
          <w:color w:val="000000"/>
          <w:sz w:val="20"/>
          <w:szCs w:val="20"/>
        </w:rPr>
        <w:t>.8 million, with control of the equipment transferring to the vendor at the end of the leaseback term.</w:t>
      </w:r>
    </w:p>
    <w:p w:rsidR="00000000" w:rsidRDefault="000242E9">
      <w:pPr>
        <w:jc w:val="both"/>
        <w:divId w:val="1099066054"/>
        <w:rPr>
          <w:rFonts w:eastAsia="Times New Roman"/>
        </w:rPr>
      </w:pPr>
      <w:r>
        <w:rPr>
          <w:rFonts w:eastAsia="Times New Roman"/>
          <w:color w:val="000000"/>
          <w:sz w:val="20"/>
          <w:szCs w:val="20"/>
        </w:rPr>
        <w:t>The Company concluded the leaseback would be classified as a financing lease. Therefore, the transaction was deemed a failed sale-leaseback and was accou</w:t>
      </w:r>
      <w:r>
        <w:rPr>
          <w:rFonts w:eastAsia="Times New Roman"/>
          <w:color w:val="000000"/>
          <w:sz w:val="20"/>
          <w:szCs w:val="20"/>
        </w:rPr>
        <w:t xml:space="preserve">nted for as a financing arrangement. The assets continue to be depreciated over their useful lives, and payments are allocated between interest expense and repayment of the financing liability. The remaining financing liability of $2.1 million is included </w:t>
      </w:r>
      <w:r>
        <w:rPr>
          <w:rFonts w:eastAsia="Times New Roman"/>
          <w:color w:val="000000"/>
          <w:sz w:val="20"/>
          <w:szCs w:val="20"/>
        </w:rPr>
        <w:t>within other current liabilities on the Condensed Consolidated Balance Sheet.</w:t>
      </w:r>
    </w:p>
    <w:p w:rsidR="00000000" w:rsidRDefault="000242E9">
      <w:pPr>
        <w:jc w:val="both"/>
        <w:divId w:val="1189444472"/>
        <w:rPr>
          <w:rFonts w:eastAsia="Times New Roman"/>
        </w:rPr>
      </w:pPr>
      <w:r>
        <w:rPr>
          <w:rFonts w:eastAsia="Times New Roman"/>
          <w:color w:val="000000"/>
          <w:sz w:val="20"/>
          <w:szCs w:val="20"/>
        </w:rPr>
        <w:t>Future minimum payments related to the financing obligations under the failed sale-leaseback transaction as of September 30, 2020 are summarized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7092"/>
        <w:gridCol w:w="36"/>
        <w:gridCol w:w="111"/>
        <w:gridCol w:w="976"/>
        <w:gridCol w:w="36"/>
      </w:tblGrid>
      <w:tr w:rsidR="00000000">
        <w:trPr>
          <w:divId w:val="1598824086"/>
          <w:jc w:val="center"/>
        </w:trPr>
        <w:tc>
          <w:tcPr>
            <w:tcW w:w="50" w:type="pct"/>
            <w:vAlign w:val="center"/>
            <w:hideMark/>
          </w:tcPr>
          <w:p w:rsidR="00000000" w:rsidRDefault="000242E9">
            <w:pPr>
              <w:jc w:val="both"/>
              <w:rPr>
                <w:rFonts w:eastAsia="Times New Roman"/>
              </w:rPr>
            </w:pPr>
          </w:p>
        </w:tc>
        <w:tc>
          <w:tcPr>
            <w:tcW w:w="428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0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98824086"/>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i/>
                <w:iCs/>
                <w:color w:val="000000"/>
                <w:sz w:val="16"/>
                <w:szCs w:val="16"/>
              </w:rPr>
              <w:t>(In thousands)</w:t>
            </w:r>
          </w:p>
        </w:tc>
      </w:tr>
      <w:tr w:rsidR="00000000">
        <w:trPr>
          <w:divId w:val="15988240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Remainder of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988240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2021</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598824086"/>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598824086"/>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598824086"/>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5988240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ind w:hanging="360"/>
        <w:jc w:val="both"/>
        <w:divId w:val="1987315009"/>
        <w:rPr>
          <w:rFonts w:eastAsia="Times New Roman"/>
        </w:rPr>
      </w:pPr>
      <w:r>
        <w:rPr>
          <w:rFonts w:eastAsia="Times New Roman"/>
          <w:b/>
          <w:bCs/>
          <w:color w:val="000000"/>
          <w:sz w:val="20"/>
          <w:szCs w:val="20"/>
        </w:rPr>
        <w:t>5.Stockholders' Equity</w:t>
      </w:r>
    </w:p>
    <w:p w:rsidR="00000000" w:rsidRDefault="000242E9">
      <w:pPr>
        <w:jc w:val="both"/>
        <w:divId w:val="420568201"/>
        <w:rPr>
          <w:rFonts w:eastAsia="Times New Roman"/>
        </w:rPr>
      </w:pPr>
      <w:r>
        <w:rPr>
          <w:rFonts w:eastAsia="Times New Roman"/>
          <w:b/>
          <w:bCs/>
          <w:i/>
          <w:iCs/>
          <w:color w:val="000000"/>
          <w:sz w:val="20"/>
          <w:szCs w:val="20"/>
        </w:rPr>
        <w:t xml:space="preserve">2019 Issuance and Sale of Common Stock and Warrants </w:t>
      </w:r>
    </w:p>
    <w:p w:rsidR="00000000" w:rsidRDefault="000242E9">
      <w:pPr>
        <w:jc w:val="both"/>
        <w:divId w:val="514685457"/>
        <w:rPr>
          <w:rFonts w:eastAsia="Times New Roman"/>
        </w:rPr>
      </w:pPr>
      <w:r>
        <w:rPr>
          <w:rFonts w:eastAsia="Times New Roman"/>
          <w:color w:val="000000"/>
          <w:sz w:val="20"/>
          <w:szCs w:val="20"/>
        </w:rPr>
        <w:t>On June </w:t>
      </w:r>
      <w:r>
        <w:rPr>
          <w:rFonts w:eastAsia="Times New Roman"/>
          <w:color w:val="000000"/>
          <w:sz w:val="20"/>
          <w:szCs w:val="20"/>
        </w:rPr>
        <w:t>23, 2019, the Company entered into a Securities Purchase Agreement with CVI, pursuant to which CVI agreed to purchase (i) 2,728,513 shares of Common Stock (the "Initial Shares"), at a price of $7.33 per share and (ii) Series A Warrants, Series B-1 Warrants</w:t>
      </w:r>
      <w:r>
        <w:rPr>
          <w:rFonts w:eastAsia="Times New Roman"/>
          <w:color w:val="000000"/>
          <w:sz w:val="20"/>
          <w:szCs w:val="20"/>
        </w:rPr>
        <w:t>, Series B-2 Warrants and Series C Warrants, for aggregate gross proceeds of $20.0 million (the "Private Placement"). The Private Placement closed on June 26, 2019 (the "Closing Date").</w:t>
      </w:r>
    </w:p>
    <w:p w:rsidR="00000000" w:rsidRDefault="000242E9">
      <w:pPr>
        <w:jc w:val="both"/>
        <w:divId w:val="208415743"/>
        <w:rPr>
          <w:rFonts w:eastAsia="Times New Roman"/>
        </w:rPr>
      </w:pPr>
      <w:r>
        <w:rPr>
          <w:rFonts w:eastAsia="Times New Roman"/>
          <w:color w:val="000000"/>
          <w:sz w:val="20"/>
          <w:szCs w:val="20"/>
        </w:rPr>
        <w:t xml:space="preserve">The Series B-1 Warrants were exercisable by the holders at any time prior to the six-month anniversary of the Closing Date, as adjusted pursuant to the terms of the Series B-1 Warrants. The Series B-1 Warrants provided the holders the right to purchase an </w:t>
      </w:r>
      <w:r>
        <w:rPr>
          <w:rFonts w:eastAsia="Times New Roman"/>
          <w:color w:val="000000"/>
          <w:sz w:val="20"/>
          <w:szCs w:val="20"/>
        </w:rPr>
        <w:t>aggregate of up to 2,347,418 shares of Common Stock at an exercise price equal to $8.52 and could have been exercised for cash only. The Series B-1 Warrants expired on January 29, 2020.</w:t>
      </w:r>
    </w:p>
    <w:p w:rsidR="00000000" w:rsidRDefault="000242E9">
      <w:pPr>
        <w:jc w:val="both"/>
        <w:divId w:val="1771656451"/>
        <w:rPr>
          <w:rFonts w:eastAsia="Times New Roman"/>
        </w:rPr>
      </w:pPr>
      <w:r>
        <w:rPr>
          <w:rFonts w:eastAsia="Times New Roman"/>
          <w:color w:val="000000"/>
          <w:sz w:val="20"/>
          <w:szCs w:val="20"/>
        </w:rPr>
        <w:t>The Series B-2 Warrants were exercisable by the holders at any time pr</w:t>
      </w:r>
      <w:r>
        <w:rPr>
          <w:rFonts w:eastAsia="Times New Roman"/>
          <w:color w:val="000000"/>
          <w:sz w:val="20"/>
          <w:szCs w:val="20"/>
        </w:rPr>
        <w:t xml:space="preserve">ior to the twelve-month anniversary of the Closing Date, as adjusted pursuant to the terms of the Series B-2 Warrants. The Series B-2 Warrants provided the holders the right to purchase an </w:t>
      </w:r>
    </w:p>
    <w:p w:rsidR="00000000" w:rsidRDefault="000242E9">
      <w:pPr>
        <w:jc w:val="center"/>
        <w:divId w:val="133916947"/>
        <w:rPr>
          <w:rFonts w:eastAsia="Times New Roman"/>
        </w:rPr>
      </w:pPr>
      <w:r>
        <w:rPr>
          <w:rFonts w:eastAsia="Times New Roman"/>
          <w:color w:val="000000"/>
          <w:sz w:val="20"/>
          <w:szCs w:val="20"/>
        </w:rPr>
        <w:t>15</w:t>
      </w:r>
    </w:p>
    <w:p w:rsidR="00000000" w:rsidRDefault="000242E9">
      <w:pPr>
        <w:rPr>
          <w:rFonts w:eastAsia="Times New Roman"/>
        </w:rPr>
      </w:pPr>
      <w:r>
        <w:rPr>
          <w:rFonts w:eastAsia="Times New Roman"/>
        </w:rPr>
        <w:pict>
          <v:rect id="_x0000_i1042" style="width:0;height:1.5pt" o:hralign="center" o:hrstd="t" o:hr="t" fillcolor="#a0a0a0" stroked="f"/>
        </w:pict>
      </w:r>
    </w:p>
    <w:p w:rsidR="00000000" w:rsidRDefault="000242E9">
      <w:pPr>
        <w:jc w:val="both"/>
        <w:divId w:val="1007058000"/>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007058000"/>
        <w:rPr>
          <w:rFonts w:eastAsia="Times New Roman"/>
        </w:rPr>
      </w:pPr>
    </w:p>
    <w:p w:rsidR="00000000" w:rsidRDefault="000242E9">
      <w:pPr>
        <w:jc w:val="both"/>
        <w:divId w:val="669674244"/>
        <w:rPr>
          <w:rFonts w:eastAsia="Times New Roman"/>
        </w:rPr>
      </w:pPr>
      <w:r>
        <w:rPr>
          <w:rFonts w:eastAsia="Times New Roman"/>
          <w:color w:val="000000"/>
          <w:sz w:val="20"/>
          <w:szCs w:val="20"/>
        </w:rPr>
        <w:t xml:space="preserve">aggregate of up to 1,121,076 shares of Common Stock at an exercise price equal to $8.92 </w:t>
      </w:r>
      <w:r>
        <w:rPr>
          <w:rFonts w:eastAsia="Times New Roman"/>
          <w:color w:val="000000"/>
          <w:sz w:val="20"/>
          <w:szCs w:val="20"/>
        </w:rPr>
        <w:t>and could have been exercised for cash only. The Series B-2 Warrants expired on August 3, 2020.</w:t>
      </w:r>
    </w:p>
    <w:p w:rsidR="00000000" w:rsidRDefault="000242E9">
      <w:pPr>
        <w:jc w:val="both"/>
        <w:divId w:val="614945221"/>
        <w:rPr>
          <w:rFonts w:eastAsia="Times New Roman"/>
        </w:rPr>
      </w:pPr>
      <w:r>
        <w:rPr>
          <w:rFonts w:eastAsia="Times New Roman"/>
          <w:color w:val="000000"/>
          <w:sz w:val="20"/>
          <w:szCs w:val="20"/>
        </w:rPr>
        <w:t>The Series A Warrants are exercisable by the holders for a period of five years from the Closing Date and are currently exercisable into 5,457,026 shares of Com</w:t>
      </w:r>
      <w:r>
        <w:rPr>
          <w:rFonts w:eastAsia="Times New Roman"/>
          <w:color w:val="000000"/>
          <w:sz w:val="20"/>
          <w:szCs w:val="20"/>
        </w:rPr>
        <w:t>mon Stock, which is equal to the Initial Shares plus the number of shares issued pursuant to the exercise of the Series C Warrants (described below). The exercise price for the Series A Warrants is $12.00. The Series A Warrants may be exercised for cash or</w:t>
      </w:r>
      <w:r>
        <w:rPr>
          <w:rFonts w:eastAsia="Times New Roman"/>
          <w:color w:val="000000"/>
          <w:sz w:val="20"/>
          <w:szCs w:val="20"/>
        </w:rPr>
        <w:t xml:space="preserve"> through a net settlement feature. The exercise price for the Series A Warrants is subject to anti-dilution adjustment in certain circumstances.</w:t>
      </w:r>
    </w:p>
    <w:p w:rsidR="00000000" w:rsidRDefault="000242E9">
      <w:pPr>
        <w:jc w:val="both"/>
        <w:divId w:val="136387306"/>
        <w:rPr>
          <w:rFonts w:eastAsia="Times New Roman"/>
        </w:rPr>
      </w:pPr>
      <w:r>
        <w:rPr>
          <w:rFonts w:eastAsia="Times New Roman"/>
          <w:color w:val="000000"/>
          <w:sz w:val="20"/>
          <w:szCs w:val="20"/>
        </w:rPr>
        <w:t>The Series C Warrants are partially prepaid warrants (with a nominal remaining exercise price) that were not ex</w:t>
      </w:r>
      <w:r>
        <w:rPr>
          <w:rFonts w:eastAsia="Times New Roman"/>
          <w:color w:val="000000"/>
          <w:sz w:val="20"/>
          <w:szCs w:val="20"/>
        </w:rPr>
        <w:t>ercisable before September 21, 2019. CVI exercised the Series C Warrants on October 10, 2019. Because the VWAP of the Common Stock as of the date of exercise, discounted by 7.5%, was less than CVI's purchase price for the Initial Shares, the Company was re</w:t>
      </w:r>
      <w:r>
        <w:rPr>
          <w:rFonts w:eastAsia="Times New Roman"/>
          <w:color w:val="000000"/>
          <w:sz w:val="20"/>
          <w:szCs w:val="20"/>
        </w:rPr>
        <w:t>quired to issue to CVI a number of shares of Common Stock equal to (i) (x) CVI's purchase price for the Initial Shares divided by (y) 92.5% of the VWAP of the Common Stock leading up to September 21, 2019, subject to a floor of 50.0% of the price per Initi</w:t>
      </w:r>
      <w:r>
        <w:rPr>
          <w:rFonts w:eastAsia="Times New Roman"/>
          <w:color w:val="000000"/>
          <w:sz w:val="20"/>
          <w:szCs w:val="20"/>
        </w:rPr>
        <w:t>al Share, less (ii) the number of Initial Shares issued to CVI on the Closing Date. As a result of this exercise, the Company issued 2,728,513 shares of Common Stock to CVI on October 14, 2019. In addition, the number of shares issuable under the Company's</w:t>
      </w:r>
      <w:r>
        <w:rPr>
          <w:rFonts w:eastAsia="Times New Roman"/>
          <w:color w:val="000000"/>
          <w:sz w:val="20"/>
          <w:szCs w:val="20"/>
        </w:rPr>
        <w:t xml:space="preserve"> Series A Warrants was increased by 2,728,513.</w:t>
      </w:r>
    </w:p>
    <w:p w:rsidR="00000000" w:rsidRDefault="000242E9">
      <w:pPr>
        <w:jc w:val="both"/>
        <w:divId w:val="541133917"/>
        <w:rPr>
          <w:rFonts w:eastAsia="Times New Roman"/>
        </w:rPr>
      </w:pPr>
      <w:r>
        <w:rPr>
          <w:rFonts w:eastAsia="Times New Roman"/>
          <w:color w:val="000000"/>
          <w:sz w:val="20"/>
          <w:szCs w:val="20"/>
        </w:rPr>
        <w:t xml:space="preserve">CVI will not have the right to exercise any warrant that would result in CVI beneficially owning more than 4.99% of the outstanding Common Stock after giving effect to such exercise. CVI has the right, in its </w:t>
      </w:r>
      <w:r>
        <w:rPr>
          <w:rFonts w:eastAsia="Times New Roman"/>
          <w:color w:val="000000"/>
          <w:sz w:val="20"/>
          <w:szCs w:val="20"/>
        </w:rPr>
        <w:t>discretion, to raise this threshold up to 9.99% with 60 days' notice to the Company.</w:t>
      </w:r>
    </w:p>
    <w:p w:rsidR="00000000" w:rsidRDefault="000242E9">
      <w:pPr>
        <w:jc w:val="both"/>
        <w:divId w:val="1462843623"/>
        <w:rPr>
          <w:rFonts w:eastAsia="Times New Roman"/>
        </w:rPr>
      </w:pPr>
      <w:r>
        <w:rPr>
          <w:rFonts w:eastAsia="Times New Roman"/>
          <w:color w:val="000000"/>
          <w:sz w:val="20"/>
          <w:szCs w:val="20"/>
        </w:rPr>
        <w:t xml:space="preserve">Pursuant to the transactions described above, the Company agreed to a 105-day lock-up period related to any future offering of equity or equity-linked securities and also </w:t>
      </w:r>
      <w:r>
        <w:rPr>
          <w:rFonts w:eastAsia="Times New Roman"/>
          <w:color w:val="000000"/>
          <w:sz w:val="20"/>
          <w:szCs w:val="20"/>
        </w:rPr>
        <w:t>agreed to provide CVI with registration rights relating to the Initial Shares and any shares issuable upon the exercise of the warrants. On June 26, 2019, the Company filed a prospectus supplement to its effective registration statement on Form S-3 to perm</w:t>
      </w:r>
      <w:r>
        <w:rPr>
          <w:rFonts w:eastAsia="Times New Roman"/>
          <w:color w:val="000000"/>
          <w:sz w:val="20"/>
          <w:szCs w:val="20"/>
        </w:rPr>
        <w:t>it the resale of such shares.</w:t>
      </w:r>
    </w:p>
    <w:p w:rsidR="00000000" w:rsidRDefault="000242E9">
      <w:pPr>
        <w:jc w:val="both"/>
        <w:divId w:val="228226117"/>
        <w:rPr>
          <w:rFonts w:eastAsia="Times New Roman"/>
        </w:rPr>
      </w:pPr>
      <w:r>
        <w:rPr>
          <w:rFonts w:eastAsia="Times New Roman"/>
          <w:color w:val="000000"/>
          <w:sz w:val="20"/>
          <w:szCs w:val="20"/>
        </w:rPr>
        <w:t>Management determined each warrant to be a freestanding financial instrument that qualifies for liability treatment as a result of net cash settlement features associated with an exchange-related limitation or upon a change in</w:t>
      </w:r>
      <w:r>
        <w:rPr>
          <w:rFonts w:eastAsia="Times New Roman"/>
          <w:color w:val="000000"/>
          <w:sz w:val="20"/>
          <w:szCs w:val="20"/>
        </w:rPr>
        <w:t xml:space="preserve"> control. Each warrant is initially measured at fair value and classified as a current liability on the Condensed Consolidated Balance Sheet, with subsequent changes in fair value recorded in earnings. To determine the fair value of each warrant, managemen</w:t>
      </w:r>
      <w:r>
        <w:rPr>
          <w:rFonts w:eastAsia="Times New Roman"/>
          <w:color w:val="000000"/>
          <w:sz w:val="20"/>
          <w:szCs w:val="20"/>
        </w:rPr>
        <w:t>t utilized a Monte Carlo simulation analysis within an option pricing model.</w:t>
      </w:r>
    </w:p>
    <w:p w:rsidR="00000000" w:rsidRDefault="000242E9">
      <w:pPr>
        <w:jc w:val="both"/>
        <w:divId w:val="527836292"/>
        <w:rPr>
          <w:rFonts w:eastAsia="Times New Roman"/>
        </w:rPr>
      </w:pPr>
      <w:r>
        <w:rPr>
          <w:rFonts w:eastAsia="Times New Roman"/>
          <w:color w:val="000000"/>
          <w:sz w:val="20"/>
          <w:szCs w:val="20"/>
        </w:rPr>
        <w:t xml:space="preserve">The estimated fair value of the warrants as of September 30, 2020 was $2.0 million. Refer to </w:t>
      </w:r>
      <w:hyperlink w:anchor="if7a518a588154f7ab52f3429da641a28_64"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w:t>
      </w:r>
      <w:r>
        <w:rPr>
          <w:rFonts w:eastAsia="Times New Roman"/>
          <w:i/>
          <w:iCs/>
          <w:color w:val="000000"/>
          <w:sz w:val="20"/>
          <w:szCs w:val="20"/>
        </w:rPr>
        <w:t>urements</w:t>
      </w:r>
      <w:r>
        <w:rPr>
          <w:rFonts w:eastAsia="Times New Roman"/>
          <w:color w:val="000000"/>
          <w:sz w:val="20"/>
          <w:szCs w:val="20"/>
        </w:rPr>
        <w:t>, for further information on the Level 3 inputs utilized for the determination of the fair value of the warrants.</w:t>
      </w:r>
    </w:p>
    <w:p w:rsidR="00000000" w:rsidRDefault="000242E9">
      <w:pPr>
        <w:ind w:hanging="360"/>
        <w:jc w:val="both"/>
        <w:divId w:val="2058240472"/>
        <w:rPr>
          <w:rFonts w:eastAsia="Times New Roman"/>
        </w:rPr>
      </w:pPr>
      <w:r>
        <w:rPr>
          <w:rFonts w:eastAsia="Times New Roman"/>
          <w:b/>
          <w:bCs/>
          <w:color w:val="000000"/>
          <w:sz w:val="20"/>
          <w:szCs w:val="20"/>
        </w:rPr>
        <w:t>6.Fair Value Measurements</w:t>
      </w:r>
    </w:p>
    <w:p w:rsidR="00000000" w:rsidRDefault="000242E9">
      <w:pPr>
        <w:jc w:val="both"/>
        <w:divId w:val="458687340"/>
        <w:rPr>
          <w:rFonts w:eastAsia="Times New Roman"/>
        </w:rPr>
      </w:pPr>
      <w:r>
        <w:rPr>
          <w:rFonts w:eastAsia="Times New Roman"/>
          <w:color w:val="000000"/>
          <w:sz w:val="20"/>
          <w:szCs w:val="20"/>
        </w:rPr>
        <w:t>The Company's financial instruments measured at fair value in the accompanying Condensed Consolidated Balanc</w:t>
      </w:r>
      <w:r>
        <w:rPr>
          <w:rFonts w:eastAsia="Times New Roman"/>
          <w:color w:val="000000"/>
          <w:sz w:val="20"/>
          <w:szCs w:val="20"/>
        </w:rPr>
        <w:t>e Sheets on a recurring basis 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177"/>
        <w:gridCol w:w="38"/>
        <w:gridCol w:w="110"/>
        <w:gridCol w:w="540"/>
        <w:gridCol w:w="36"/>
        <w:gridCol w:w="36"/>
        <w:gridCol w:w="36"/>
        <w:gridCol w:w="36"/>
        <w:gridCol w:w="111"/>
        <w:gridCol w:w="437"/>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540"/>
        <w:gridCol w:w="36"/>
        <w:gridCol w:w="36"/>
        <w:gridCol w:w="36"/>
        <w:gridCol w:w="36"/>
        <w:gridCol w:w="110"/>
        <w:gridCol w:w="540"/>
        <w:gridCol w:w="36"/>
      </w:tblGrid>
      <w:tr w:rsidR="00000000">
        <w:trPr>
          <w:divId w:val="2137988900"/>
          <w:jc w:val="center"/>
        </w:trPr>
        <w:tc>
          <w:tcPr>
            <w:tcW w:w="50" w:type="pct"/>
            <w:vAlign w:val="center"/>
            <w:hideMark/>
          </w:tcPr>
          <w:p w:rsidR="00000000" w:rsidRDefault="000242E9">
            <w:pPr>
              <w:jc w:val="both"/>
              <w:rPr>
                <w:rFonts w:eastAsia="Times New Roman"/>
              </w:rPr>
            </w:pPr>
          </w:p>
        </w:tc>
        <w:tc>
          <w:tcPr>
            <w:tcW w:w="14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13798890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213798890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213798890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Total</w:t>
            </w:r>
          </w:p>
        </w:tc>
      </w:tr>
      <w:tr w:rsidR="00000000">
        <w:trPr>
          <w:divId w:val="213798890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242E9">
        <w:trPr>
          <w:divId w:val="213798890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165852491"/>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13,426 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13,426 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24,327 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24,327 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386535486"/>
              <w:rPr>
                <w:rFonts w:eastAsia="Times New Roman"/>
              </w:rPr>
            </w:pPr>
            <w:r>
              <w:rPr>
                <w:rFonts w:eastAsia="Times New Roman"/>
                <w:color w:val="000000"/>
                <w:sz w:val="18"/>
                <w:szCs w:val="18"/>
              </w:rPr>
              <w:t>Certificates of deposit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242E9">
        <w:trPr>
          <w:divId w:val="2137988900"/>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 xml:space="preserve">Total assets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13,426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13,426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24,327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25,336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13798890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13798890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351566528"/>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242E9">
        <w:trPr>
          <w:divId w:val="213798890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Interest rate reset </w:t>
            </w: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13,200 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13,200 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18,800 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18,800 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Make-whole change of control</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Qualifying change of control</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352413511"/>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13798890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Series A</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137988900"/>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13798890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Series B-2</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242E9">
        <w:trPr>
          <w:divId w:val="2137988900"/>
          <w:jc w:val="center"/>
        </w:trPr>
        <w:tc>
          <w:tcPr>
            <w:tcW w:w="0" w:type="auto"/>
            <w:gridSpan w:val="3"/>
            <w:shd w:val="clear" w:color="auto" w:fill="FFFFFF"/>
            <w:tcMar>
              <w:top w:w="30" w:type="dxa"/>
              <w:left w:w="135"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16,660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16,660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29,312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29,312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072896937"/>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Level 1 cash equivalents are invested in money market funds that are intended to maintain a stable net asset value of $1.00 per share by in</w:t>
      </w:r>
      <w:r>
        <w:rPr>
          <w:rFonts w:eastAsia="Times New Roman"/>
          <w:i/>
          <w:iCs/>
          <w:color w:val="000000"/>
          <w:sz w:val="16"/>
          <w:szCs w:val="16"/>
        </w:rPr>
        <w:t>vesting in liquid, high quality U.S. dollar-denominated money market instruments with maturities less than three months.</w:t>
      </w:r>
    </w:p>
    <w:p w:rsidR="00000000" w:rsidRDefault="000242E9">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The Company's certificates of deposit are recorded at their face value which approximates their fair value.</w:t>
      </w:r>
    </w:p>
    <w:p w:rsidR="00000000" w:rsidRDefault="000242E9">
      <w:pPr>
        <w:jc w:val="center"/>
        <w:divId w:val="556942442"/>
        <w:rPr>
          <w:rFonts w:eastAsia="Times New Roman"/>
        </w:rPr>
      </w:pPr>
      <w:r>
        <w:rPr>
          <w:rFonts w:eastAsia="Times New Roman"/>
          <w:color w:val="000000"/>
          <w:sz w:val="20"/>
          <w:szCs w:val="20"/>
        </w:rPr>
        <w:t>16</w:t>
      </w:r>
    </w:p>
    <w:p w:rsidR="00000000" w:rsidRDefault="000242E9">
      <w:pPr>
        <w:rPr>
          <w:rFonts w:eastAsia="Times New Roman"/>
        </w:rPr>
      </w:pPr>
      <w:r>
        <w:rPr>
          <w:rFonts w:eastAsia="Times New Roman"/>
        </w:rPr>
        <w:pict>
          <v:rect id="_x0000_i1043" style="width:0;height:1.5pt" o:hralign="center" o:hrstd="t" o:hr="t" fillcolor="#a0a0a0" stroked="f"/>
        </w:pict>
      </w:r>
    </w:p>
    <w:p w:rsidR="00000000" w:rsidRDefault="000242E9">
      <w:pPr>
        <w:jc w:val="both"/>
        <w:divId w:val="138872279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388722791"/>
        <w:rPr>
          <w:rFonts w:eastAsia="Times New Roman"/>
        </w:rPr>
      </w:pPr>
    </w:p>
    <w:p w:rsidR="00000000" w:rsidRDefault="000242E9">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The fair values of the financing derivatives are derived from techniques which utilize inputs, certain of which are significant and unobservable, that result </w:t>
      </w:r>
      <w:r>
        <w:rPr>
          <w:rFonts w:eastAsia="Times New Roman"/>
          <w:i/>
          <w:iCs/>
          <w:color w:val="000000"/>
          <w:sz w:val="16"/>
          <w:szCs w:val="16"/>
        </w:rPr>
        <w:t>in classification as Level 3 fair value measurements. The qualifying change of control derivative expired on August 5, 2020.</w:t>
      </w:r>
    </w:p>
    <w:p w:rsidR="00000000" w:rsidRDefault="000242E9">
      <w:pPr>
        <w:jc w:val="both"/>
        <w:rPr>
          <w:rFonts w:eastAsia="Times New Roman"/>
        </w:rPr>
      </w:pPr>
      <w:r>
        <w:rPr>
          <w:rFonts w:eastAsia="Times New Roman"/>
          <w:i/>
          <w:iCs/>
          <w:color w:val="000000"/>
          <w:sz w:val="10"/>
          <w:szCs w:val="10"/>
        </w:rPr>
        <w:t>(4</w:t>
      </w:r>
      <w:r>
        <w:rPr>
          <w:rFonts w:eastAsia="Times New Roman"/>
          <w:i/>
          <w:iCs/>
          <w:color w:val="000000"/>
          <w:sz w:val="10"/>
          <w:szCs w:val="10"/>
        </w:rPr>
        <w:t>)</w:t>
      </w:r>
      <w:r>
        <w:rPr>
          <w:rFonts w:eastAsia="Times New Roman"/>
          <w:i/>
          <w:iCs/>
          <w:color w:val="000000"/>
          <w:sz w:val="16"/>
          <w:szCs w:val="16"/>
        </w:rPr>
        <w:t xml:space="preserve"> The fair values of the warrants are derived from techniques which utilize inputs, certain of which are significant and unobserv</w:t>
      </w:r>
      <w:r>
        <w:rPr>
          <w:rFonts w:eastAsia="Times New Roman"/>
          <w:i/>
          <w:iCs/>
          <w:color w:val="000000"/>
          <w:sz w:val="16"/>
          <w:szCs w:val="16"/>
        </w:rPr>
        <w:t>able, that result in classification as Level 3 fair value measurements. The Series B-1 Warrants expired without exercise on January 29, 2020. The Series B-2 Warrants expired without exercise on August 3, 2020.</w:t>
      </w:r>
    </w:p>
    <w:p w:rsidR="00000000" w:rsidRDefault="000242E9">
      <w:pPr>
        <w:jc w:val="both"/>
        <w:divId w:val="398787844"/>
        <w:rPr>
          <w:rFonts w:eastAsia="Times New Roman"/>
        </w:rPr>
      </w:pPr>
      <w:r>
        <w:rPr>
          <w:rFonts w:eastAsia="Times New Roman"/>
          <w:color w:val="000000"/>
          <w:sz w:val="20"/>
          <w:szCs w:val="20"/>
        </w:rPr>
        <w:t>There were no changes to the Company's valuati</w:t>
      </w:r>
      <w:r>
        <w:rPr>
          <w:rFonts w:eastAsia="Times New Roman"/>
          <w:color w:val="000000"/>
          <w:sz w:val="20"/>
          <w:szCs w:val="20"/>
        </w:rPr>
        <w:t>on methodologies during the three and nine months ended September 30, 2020 or 2019, respectively.</w:t>
      </w:r>
    </w:p>
    <w:p w:rsidR="00000000" w:rsidRDefault="000242E9">
      <w:pPr>
        <w:jc w:val="both"/>
        <w:divId w:val="1958173547"/>
        <w:rPr>
          <w:rFonts w:eastAsia="Times New Roman"/>
        </w:rPr>
      </w:pPr>
      <w:r>
        <w:rPr>
          <w:rFonts w:eastAsia="Times New Roman"/>
          <w:color w:val="000000"/>
          <w:sz w:val="20"/>
          <w:szCs w:val="20"/>
        </w:rPr>
        <w:t>The following tables present the changes in the Company's recurring Level 3 fair valued instruments for the nine months ended September 30, 2020 and 2019,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17"/>
        <w:gridCol w:w="37"/>
        <w:gridCol w:w="36"/>
        <w:gridCol w:w="36"/>
        <w:gridCol w:w="36"/>
        <w:gridCol w:w="111"/>
        <w:gridCol w:w="928"/>
        <w:gridCol w:w="36"/>
        <w:gridCol w:w="36"/>
        <w:gridCol w:w="36"/>
        <w:gridCol w:w="36"/>
        <w:gridCol w:w="111"/>
        <w:gridCol w:w="976"/>
        <w:gridCol w:w="36"/>
      </w:tblGrid>
      <w:tr w:rsidR="00000000">
        <w:trPr>
          <w:divId w:val="1682780147"/>
          <w:jc w:val="center"/>
        </w:trPr>
        <w:tc>
          <w:tcPr>
            <w:tcW w:w="50" w:type="pct"/>
            <w:vAlign w:val="center"/>
            <w:hideMark/>
          </w:tcPr>
          <w:p w:rsidR="00000000" w:rsidRDefault="000242E9">
            <w:pPr>
              <w:jc w:val="both"/>
              <w:rPr>
                <w:rFonts w:eastAsia="Times New Roman"/>
              </w:rPr>
            </w:pPr>
          </w:p>
        </w:tc>
        <w:tc>
          <w:tcPr>
            <w:tcW w:w="353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682780147"/>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Warrants Liability</w:t>
            </w:r>
          </w:p>
        </w:tc>
      </w:tr>
      <w:tr w:rsidR="00000000">
        <w:trPr>
          <w:divId w:val="16827801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82780147"/>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682780147"/>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1199393566"/>
              <w:rPr>
                <w:rFonts w:eastAsia="Times New Roman"/>
              </w:rPr>
            </w:pPr>
            <w:r>
              <w:rPr>
                <w:rFonts w:eastAsia="Times New Roman"/>
                <w:color w:val="000000"/>
                <w:sz w:val="18"/>
                <w:szCs w:val="18"/>
              </w:rPr>
              <w:t>Total gains included in other income,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(6,887)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(5,765)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682780147"/>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682780147"/>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238828583"/>
        <w:rPr>
          <w:rFonts w:eastAsia="Times New Roman"/>
        </w:rPr>
      </w:pPr>
      <w:r>
        <w:rPr>
          <w:rFonts w:eastAsia="Times New Roman"/>
          <w:i/>
          <w:iCs/>
          <w:color w:val="000000"/>
          <w:sz w:val="10"/>
          <w:szCs w:val="10"/>
        </w:rPr>
        <w:t>(</w:t>
      </w: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$5.6 million gain due to change in fair value of interest rate reset derivative liability, $0.1 million gain due to change in fair value of make-whole change of control redemption, $1.2 million gain due to change in fair value of qualifying c</w:t>
      </w:r>
      <w:r>
        <w:rPr>
          <w:rFonts w:eastAsia="Times New Roman"/>
          <w:i/>
          <w:iCs/>
          <w:color w:val="000000"/>
          <w:sz w:val="16"/>
          <w:szCs w:val="16"/>
        </w:rPr>
        <w:t>hange of control redemption derivative liability, $5.6 million gain due to change in fair value of the Series A Warrant and $0.2 million gain due to change in fair value of the Series B-2 Warrant. All gains were recorded in other income, net in the Condens</w:t>
      </w:r>
      <w:r>
        <w:rPr>
          <w:rFonts w:eastAsia="Times New Roman"/>
          <w:i/>
          <w:iCs/>
          <w:color w:val="000000"/>
          <w:sz w:val="16"/>
          <w:szCs w:val="16"/>
        </w:rPr>
        <w:t>ed Consolidated Statements of Operations and Comprehensive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trPr>
          <w:divId w:val="1497190586"/>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497190586"/>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Warrants Liability</w:t>
            </w:r>
          </w:p>
        </w:tc>
      </w:tr>
      <w:tr w:rsidR="00000000">
        <w:trPr>
          <w:divId w:val="14971905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4971905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Issuances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10,798 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4971905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132135539"/>
              <w:rPr>
                <w:rFonts w:eastAsia="Times New Roman"/>
              </w:rPr>
            </w:pPr>
            <w:r>
              <w:rPr>
                <w:rFonts w:eastAsia="Times New Roman"/>
                <w:color w:val="000000"/>
                <w:sz w:val="18"/>
                <w:szCs w:val="18"/>
              </w:rPr>
              <w:t>Total gains included in other income,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497190586"/>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4971905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Balance as of September 30, 2019</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464350709"/>
        <w:rPr>
          <w:rFonts w:eastAsia="Times New Roman"/>
        </w:rPr>
      </w:pPr>
      <w:r>
        <w:rPr>
          <w:rFonts w:eastAsia="Times New Roman"/>
          <w:i/>
          <w:iCs/>
          <w:color w:val="000000"/>
          <w:sz w:val="10"/>
          <w:szCs w:val="10"/>
        </w:rPr>
        <w:t>(</w:t>
      </w: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$2.3 million gain due to change in fair value of interest rate reset derivative liability, $0.6 million gain due to change in fair value of the make-whole change of control redemption derivative liability, $3.1 million gain due to change in f</w:t>
      </w:r>
      <w:r>
        <w:rPr>
          <w:rFonts w:eastAsia="Times New Roman"/>
          <w:i/>
          <w:iCs/>
          <w:color w:val="000000"/>
          <w:sz w:val="16"/>
          <w:szCs w:val="16"/>
        </w:rPr>
        <w:t xml:space="preserve">air value of the Series A Warrant, $0.3 million gain due to change in fair value of the Series B-1 Warrant, $0.4 million gain due to change in fair value of the Series B-2 Warrant, and $1.0 million gain due to change in fair value of Series C Warrant. All </w:t>
      </w:r>
      <w:r>
        <w:rPr>
          <w:rFonts w:eastAsia="Times New Roman"/>
          <w:i/>
          <w:iCs/>
          <w:color w:val="000000"/>
          <w:sz w:val="16"/>
          <w:szCs w:val="16"/>
        </w:rPr>
        <w:t>gains were recorded in other income, net in the Condensed Consolidated Statements of Operations and Comprehensive Loss.</w:t>
      </w:r>
    </w:p>
    <w:p w:rsidR="00000000" w:rsidRDefault="000242E9">
      <w:pPr>
        <w:jc w:val="center"/>
        <w:divId w:val="1718771914"/>
        <w:rPr>
          <w:rFonts w:eastAsia="Times New Roman"/>
        </w:rPr>
      </w:pPr>
      <w:r>
        <w:rPr>
          <w:rFonts w:eastAsia="Times New Roman"/>
          <w:color w:val="000000"/>
          <w:sz w:val="20"/>
          <w:szCs w:val="20"/>
        </w:rPr>
        <w:t>17</w:t>
      </w:r>
    </w:p>
    <w:p w:rsidR="00000000" w:rsidRDefault="000242E9">
      <w:pPr>
        <w:rPr>
          <w:rFonts w:eastAsia="Times New Roman"/>
        </w:rPr>
      </w:pPr>
      <w:r>
        <w:rPr>
          <w:rFonts w:eastAsia="Times New Roman"/>
        </w:rPr>
        <w:pict>
          <v:rect id="_x0000_i1044" style="width:0;height:1.5pt" o:hralign="center" o:hrstd="t" o:hr="t" fillcolor="#a0a0a0" stroked="f"/>
        </w:pict>
      </w:r>
    </w:p>
    <w:p w:rsidR="00000000" w:rsidRDefault="000242E9">
      <w:pPr>
        <w:jc w:val="both"/>
        <w:divId w:val="174544477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745444774"/>
        <w:rPr>
          <w:rFonts w:eastAsia="Times New Roman"/>
        </w:rPr>
      </w:pPr>
    </w:p>
    <w:p w:rsidR="00000000" w:rsidRDefault="000242E9">
      <w:pPr>
        <w:jc w:val="both"/>
        <w:divId w:val="347870001"/>
        <w:rPr>
          <w:rFonts w:eastAsia="Times New Roman"/>
        </w:rPr>
      </w:pPr>
      <w:r>
        <w:rPr>
          <w:rFonts w:eastAsia="Times New Roman"/>
          <w:color w:val="000000"/>
          <w:sz w:val="20"/>
          <w:szCs w:val="20"/>
        </w:rPr>
        <w:t>The following table displays valuation techniques and the significant inputs, certain of which are unobservable, for the Company's Level 3 lia</w:t>
      </w:r>
      <w:r>
        <w:rPr>
          <w:rFonts w:eastAsia="Times New Roman"/>
          <w:color w:val="000000"/>
          <w:sz w:val="20"/>
          <w:szCs w:val="20"/>
        </w:rPr>
        <w:t>bilities, which are measured at fair value on a recurring basis: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3525"/>
        <w:gridCol w:w="37"/>
        <w:gridCol w:w="36"/>
        <w:gridCol w:w="36"/>
        <w:gridCol w:w="36"/>
        <w:gridCol w:w="64"/>
        <w:gridCol w:w="473"/>
        <w:gridCol w:w="39"/>
        <w:gridCol w:w="64"/>
        <w:gridCol w:w="368"/>
        <w:gridCol w:w="38"/>
        <w:gridCol w:w="37"/>
        <w:gridCol w:w="37"/>
        <w:gridCol w:w="37"/>
        <w:gridCol w:w="58"/>
        <w:gridCol w:w="479"/>
        <w:gridCol w:w="38"/>
        <w:gridCol w:w="58"/>
        <w:gridCol w:w="374"/>
        <w:gridCol w:w="37"/>
        <w:gridCol w:w="37"/>
        <w:gridCol w:w="37"/>
        <w:gridCol w:w="37"/>
        <w:gridCol w:w="58"/>
        <w:gridCol w:w="988"/>
        <w:gridCol w:w="37"/>
        <w:gridCol w:w="36"/>
        <w:gridCol w:w="36"/>
        <w:gridCol w:w="36"/>
        <w:gridCol w:w="55"/>
        <w:gridCol w:w="992"/>
        <w:gridCol w:w="36"/>
      </w:tblGrid>
      <w:tr w:rsidR="00000000">
        <w:trPr>
          <w:divId w:val="1480465782"/>
          <w:jc w:val="center"/>
        </w:trPr>
        <w:tc>
          <w:tcPr>
            <w:tcW w:w="50" w:type="pct"/>
            <w:vAlign w:val="center"/>
            <w:hideMark/>
          </w:tcPr>
          <w:p w:rsidR="00000000" w:rsidRDefault="000242E9">
            <w:pPr>
              <w:jc w:val="both"/>
              <w:rPr>
                <w:rFonts w:eastAsia="Times New Roman"/>
              </w:rPr>
            </w:pPr>
          </w:p>
        </w:tc>
        <w:tc>
          <w:tcPr>
            <w:tcW w:w="213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1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5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1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25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480465782"/>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Fair Value Measurements</w:t>
            </w:r>
          </w:p>
        </w:tc>
      </w:tr>
      <w:tr w:rsidR="00000000">
        <w:trPr>
          <w:divId w:val="1480465782"/>
          <w:jc w:val="center"/>
        </w:trPr>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1480465782"/>
          <w:jc w:val="center"/>
        </w:trPr>
        <w:tc>
          <w:tcPr>
            <w:tcW w:w="0" w:type="auto"/>
            <w:gridSpan w:val="3"/>
            <w:vAlign w:val="center"/>
            <w:hideMark/>
          </w:tcPr>
          <w:p w:rsidR="00000000" w:rsidRDefault="000242E9">
            <w:pPr>
              <w:jc w:val="center"/>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Interest rate reset derivative liability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Discount rate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27.0%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25.0%</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Stock price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$2.04</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$4.94</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111.3%</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74.1%</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1.29 years</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2.04 years</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0.1%</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1.6%</w:t>
            </w:r>
          </w:p>
        </w:tc>
      </w:tr>
      <w:tr w:rsidR="00000000">
        <w:trPr>
          <w:divId w:val="148046578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480465782"/>
          <w:jc w:val="center"/>
        </w:trPr>
        <w:tc>
          <w:tcPr>
            <w:tcW w:w="0" w:type="auto"/>
            <w:gridSpan w:val="3"/>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Make-whole change of control redemption derivative liability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Change of control probability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5.0% - 10.0%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5.0% - 10.0%</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1.29 years</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2.04 years</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0.1%</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1.6%</w:t>
            </w:r>
          </w:p>
        </w:tc>
      </w:tr>
      <w:tr w:rsidR="00000000">
        <w:trPr>
          <w:divId w:val="148046578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480465782"/>
          <w:jc w:val="center"/>
        </w:trPr>
        <w:tc>
          <w:tcPr>
            <w:tcW w:w="0" w:type="auto"/>
            <w:gridSpan w:val="3"/>
            <w:shd w:val="clear" w:color="auto" w:fill="CCEEFF"/>
            <w:tcMar>
              <w:top w:w="30" w:type="dxa"/>
              <w:left w:w="20" w:type="dxa"/>
              <w:bottom w:w="30" w:type="dxa"/>
              <w:right w:w="20" w:type="dxa"/>
            </w:tcMar>
            <w:hideMark/>
          </w:tcPr>
          <w:p w:rsidR="00000000" w:rsidRDefault="000242E9">
            <w:pPr>
              <w:divId w:val="965500612"/>
              <w:rPr>
                <w:rFonts w:eastAsia="Times New Roman"/>
              </w:rPr>
            </w:pPr>
            <w:r>
              <w:rPr>
                <w:rFonts w:eastAsia="Times New Roman"/>
                <w:color w:val="000000"/>
                <w:sz w:val="18"/>
                <w:szCs w:val="18"/>
              </w:rPr>
              <w:t>Qualifying change of control redemption derivative liability</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Change of control probability</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5.0%</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0.60 years</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Discount rate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25.0%</w:t>
            </w:r>
          </w:p>
        </w:tc>
      </w:tr>
      <w:tr w:rsidR="00000000">
        <w:trPr>
          <w:divId w:val="148046578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480465782"/>
          <w:jc w:val="center"/>
        </w:trPr>
        <w:tc>
          <w:tcPr>
            <w:tcW w:w="0" w:type="auto"/>
            <w:gridSpan w:val="3"/>
            <w:shd w:val="clear" w:color="auto" w:fill="CCEEFF"/>
            <w:tcMar>
              <w:top w:w="30" w:type="dxa"/>
              <w:left w:w="20" w:type="dxa"/>
              <w:bottom w:w="30" w:type="dxa"/>
              <w:right w:w="20" w:type="dxa"/>
            </w:tcMar>
            <w:hideMark/>
          </w:tcPr>
          <w:p w:rsidR="00000000" w:rsidRDefault="000242E9">
            <w:pPr>
              <w:divId w:val="911626605"/>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$2.04</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$4.94</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Volatility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80.0%</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65.0%</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Term</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3.74 years</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0.59 - 4.49 years</w:t>
            </w: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Change of control probability</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5.0% - 10.0%</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5.0% - 10.0%</w:t>
            </w:r>
          </w:p>
        </w:tc>
      </w:tr>
      <w:tr w:rsidR="00000000">
        <w:trPr>
          <w:divId w:val="1480465782"/>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0.2%</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1.6% - 1.7%</w:t>
            </w:r>
          </w:p>
        </w:tc>
      </w:tr>
      <w:tr w:rsidR="00000000">
        <w:trPr>
          <w:divId w:val="1480465782"/>
          <w:jc w:val="center"/>
        </w:trPr>
        <w:tc>
          <w:tcPr>
            <w:tcW w:w="0" w:type="auto"/>
            <w:gridSpan w:val="3"/>
            <w:vAlign w:val="center"/>
            <w:hideMark/>
          </w:tcPr>
          <w:p w:rsidR="00000000" w:rsidRDefault="000242E9">
            <w:pPr>
              <w:jc w:val="center"/>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480465782"/>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0242E9">
            <w:pPr>
              <w:rPr>
                <w:rFonts w:eastAsia="Times New Roman"/>
              </w:rPr>
            </w:pPr>
            <w:r>
              <w:rPr>
                <w:rFonts w:eastAsia="Times New Roman"/>
                <w:color w:val="000000"/>
                <w:sz w:val="18"/>
                <w:szCs w:val="18"/>
              </w:rPr>
              <w:t>Cost of debt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15.7% - 17.0%</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0242E9">
            <w:pPr>
              <w:jc w:val="center"/>
              <w:rPr>
                <w:rFonts w:eastAsia="Times New Roman"/>
              </w:rPr>
            </w:pPr>
            <w:r>
              <w:rPr>
                <w:rFonts w:eastAsia="Times New Roman"/>
                <w:color w:val="000000"/>
                <w:sz w:val="18"/>
                <w:szCs w:val="18"/>
              </w:rPr>
              <w:t>14.7% - 16.0%</w:t>
            </w:r>
          </w:p>
        </w:tc>
      </w:tr>
    </w:tbl>
    <w:p w:rsidR="00000000" w:rsidRDefault="000242E9">
      <w:pPr>
        <w:jc w:val="both"/>
        <w:divId w:val="1490169740"/>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The qualifying change of control redemption derivative liability expired on August 5, 2020.</w:t>
      </w:r>
    </w:p>
    <w:p w:rsidR="00000000" w:rsidRDefault="000242E9">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Warrants liability includes only Series A as of September </w:t>
      </w:r>
      <w:r>
        <w:rPr>
          <w:rFonts w:eastAsia="Times New Roman"/>
          <w:i/>
          <w:iCs/>
          <w:color w:val="000000"/>
          <w:sz w:val="16"/>
          <w:szCs w:val="16"/>
        </w:rPr>
        <w:t>30, 2020. Warrants liability includes Series A and Series B-2 as of December 31, 2019.</w:t>
      </w:r>
    </w:p>
    <w:p w:rsidR="00000000" w:rsidRDefault="000242E9">
      <w:pPr>
        <w:jc w:val="both"/>
        <w:divId w:val="609121595"/>
        <w:rPr>
          <w:rFonts w:eastAsia="Times New Roman"/>
        </w:rPr>
      </w:pPr>
      <w:r>
        <w:rPr>
          <w:rFonts w:eastAsia="Times New Roman"/>
          <w:color w:val="000000"/>
          <w:sz w:val="20"/>
          <w:szCs w:val="20"/>
        </w:rPr>
        <w:t>The primary sensitivity in the interest rate reset derivative liability is driven by the Common Stock price at the measurement date, the observable volatility of the Com</w:t>
      </w:r>
      <w:r>
        <w:rPr>
          <w:rFonts w:eastAsia="Times New Roman"/>
          <w:color w:val="000000"/>
          <w:sz w:val="20"/>
          <w:szCs w:val="20"/>
        </w:rPr>
        <w:t xml:space="preserve">mon Stock, and the discount rate used to determine the present value of the instrument. The primary sensitivity for the make-whole and qualifying change of control redemption derivative liabilities is driven by the probability of the change of control. </w:t>
      </w:r>
    </w:p>
    <w:p w:rsidR="00000000" w:rsidRDefault="000242E9">
      <w:pPr>
        <w:jc w:val="both"/>
        <w:divId w:val="2068451514"/>
        <w:rPr>
          <w:rFonts w:eastAsia="Times New Roman"/>
        </w:rPr>
      </w:pPr>
      <w:r>
        <w:rPr>
          <w:rFonts w:eastAsia="Times New Roman"/>
          <w:color w:val="000000"/>
          <w:sz w:val="20"/>
          <w:szCs w:val="20"/>
        </w:rPr>
        <w:t>Th</w:t>
      </w:r>
      <w:r>
        <w:rPr>
          <w:rFonts w:eastAsia="Times New Roman"/>
          <w:color w:val="000000"/>
          <w:sz w:val="20"/>
          <w:szCs w:val="20"/>
        </w:rPr>
        <w:t>e primary sensitivity in the valuation of each warrant liability is driven by the Common Stock price at the measurement date and the observable volatility of the Common Stock.</w:t>
      </w:r>
    </w:p>
    <w:p w:rsidR="00000000" w:rsidRDefault="000242E9">
      <w:pPr>
        <w:ind w:hanging="360"/>
        <w:jc w:val="both"/>
        <w:divId w:val="800805256"/>
        <w:rPr>
          <w:rFonts w:eastAsia="Times New Roman"/>
        </w:rPr>
      </w:pPr>
      <w:r>
        <w:rPr>
          <w:rFonts w:eastAsia="Times New Roman"/>
          <w:b/>
          <w:bCs/>
          <w:color w:val="000000"/>
          <w:sz w:val="20"/>
          <w:szCs w:val="20"/>
        </w:rPr>
        <w:t>7.Accrued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5797"/>
        <w:gridCol w:w="38"/>
        <w:gridCol w:w="36"/>
        <w:gridCol w:w="36"/>
        <w:gridCol w:w="36"/>
        <w:gridCol w:w="111"/>
        <w:gridCol w:w="961"/>
        <w:gridCol w:w="36"/>
        <w:gridCol w:w="36"/>
        <w:gridCol w:w="36"/>
        <w:gridCol w:w="36"/>
        <w:gridCol w:w="111"/>
        <w:gridCol w:w="961"/>
        <w:gridCol w:w="36"/>
      </w:tblGrid>
      <w:tr w:rsidR="00000000">
        <w:trPr>
          <w:divId w:val="747578840"/>
        </w:trPr>
        <w:tc>
          <w:tcPr>
            <w:tcW w:w="50" w:type="pct"/>
            <w:vAlign w:val="center"/>
            <w:hideMark/>
          </w:tcPr>
          <w:p w:rsidR="00000000" w:rsidRDefault="000242E9">
            <w:pPr>
              <w:ind w:hanging="360"/>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747578840"/>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747578840"/>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 </w:t>
            </w: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747578840"/>
        </w:trPr>
        <w:tc>
          <w:tcPr>
            <w:tcW w:w="0" w:type="auto"/>
            <w:gridSpan w:val="3"/>
            <w:vAlign w:val="center"/>
            <w:hideMark/>
          </w:tcPr>
          <w:p w:rsidR="00000000" w:rsidRDefault="000242E9">
            <w:pPr>
              <w:jc w:val="center"/>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47578840"/>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15,412 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47578840"/>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3,999 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4,118 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interest on senior secured convertible notes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3,060 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6,120 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Restructuring accrual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992 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47578840"/>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47578840"/>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8,996 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9,272 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747578840"/>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747578840"/>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47,593 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55,507 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ind w:hanging="360"/>
        <w:jc w:val="both"/>
        <w:divId w:val="1763069825"/>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rsidR="00000000" w:rsidRDefault="000242E9">
      <w:pPr>
        <w:jc w:val="both"/>
        <w:divId w:val="516892462"/>
        <w:rPr>
          <w:rFonts w:eastAsia="Times New Roman"/>
        </w:rPr>
      </w:pPr>
      <w:r>
        <w:rPr>
          <w:rFonts w:eastAsia="Times New Roman"/>
          <w:b/>
          <w:bCs/>
          <w:i/>
          <w:iCs/>
          <w:color w:val="000000"/>
          <w:sz w:val="20"/>
          <w:szCs w:val="20"/>
        </w:rPr>
        <w:t>Transactions with WPP plc</w:t>
      </w:r>
    </w:p>
    <w:p w:rsidR="00000000" w:rsidRDefault="000242E9">
      <w:pPr>
        <w:jc w:val="both"/>
        <w:divId w:val="574166790"/>
        <w:rPr>
          <w:rFonts w:eastAsia="Times New Roman"/>
        </w:rPr>
      </w:pPr>
      <w:r>
        <w:rPr>
          <w:rFonts w:eastAsia="Times New Roman"/>
          <w:color w:val="000000"/>
          <w:sz w:val="20"/>
          <w:szCs w:val="20"/>
        </w:rPr>
        <w:t>As of September 30, 2020 (based on public filings), WPP plc and its affiliates ("WPP") owned 11,319,363 shares of the Company's outstanding Common Stock, representing 15.9% ownership in the Company. The C</w:t>
      </w:r>
      <w:r>
        <w:rPr>
          <w:rFonts w:eastAsia="Times New Roman"/>
          <w:color w:val="000000"/>
          <w:sz w:val="20"/>
          <w:szCs w:val="20"/>
        </w:rPr>
        <w:t xml:space="preserve">ompany provides WPP, in the normal course of </w:t>
      </w:r>
    </w:p>
    <w:p w:rsidR="00000000" w:rsidRDefault="000242E9">
      <w:pPr>
        <w:jc w:val="center"/>
        <w:divId w:val="1526018013"/>
        <w:rPr>
          <w:rFonts w:eastAsia="Times New Roman"/>
        </w:rPr>
      </w:pPr>
      <w:r>
        <w:rPr>
          <w:rFonts w:eastAsia="Times New Roman"/>
          <w:color w:val="000000"/>
          <w:sz w:val="20"/>
          <w:szCs w:val="20"/>
        </w:rPr>
        <w:t>18</w:t>
      </w:r>
    </w:p>
    <w:p w:rsidR="00000000" w:rsidRDefault="000242E9">
      <w:pPr>
        <w:rPr>
          <w:rFonts w:eastAsia="Times New Roman"/>
        </w:rPr>
      </w:pPr>
      <w:r>
        <w:rPr>
          <w:rFonts w:eastAsia="Times New Roman"/>
        </w:rPr>
        <w:pict>
          <v:rect id="_x0000_i1045" style="width:0;height:1.5pt" o:hralign="center" o:hrstd="t" o:hr="t" fillcolor="#a0a0a0" stroked="f"/>
        </w:pict>
      </w:r>
    </w:p>
    <w:p w:rsidR="00000000" w:rsidRDefault="000242E9">
      <w:pPr>
        <w:jc w:val="both"/>
        <w:divId w:val="35196093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351960931"/>
        <w:rPr>
          <w:rFonts w:eastAsia="Times New Roman"/>
        </w:rPr>
      </w:pPr>
    </w:p>
    <w:p w:rsidR="00000000" w:rsidRDefault="000242E9">
      <w:pPr>
        <w:jc w:val="both"/>
        <w:divId w:val="931086403"/>
        <w:rPr>
          <w:rFonts w:eastAsia="Times New Roman"/>
        </w:rPr>
      </w:pPr>
      <w:r>
        <w:rPr>
          <w:rFonts w:eastAsia="Times New Roman"/>
          <w:color w:val="000000"/>
          <w:sz w:val="20"/>
          <w:szCs w:val="20"/>
        </w:rPr>
        <w:t>business, services amongst its different product lines and receives various services from WP</w:t>
      </w:r>
      <w:r>
        <w:rPr>
          <w:rFonts w:eastAsia="Times New Roman"/>
          <w:color w:val="000000"/>
          <w:sz w:val="20"/>
          <w:szCs w:val="20"/>
        </w:rPr>
        <w:t xml:space="preserve">P supporting the Company's data collection efforts. </w:t>
      </w:r>
    </w:p>
    <w:p w:rsidR="00000000" w:rsidRDefault="000242E9">
      <w:pPr>
        <w:jc w:val="both"/>
        <w:divId w:val="1855001195"/>
        <w:rPr>
          <w:rFonts w:eastAsia="Times New Roman"/>
        </w:rPr>
      </w:pPr>
      <w:r>
        <w:rPr>
          <w:rFonts w:eastAsia="Times New Roman"/>
          <w:color w:val="000000"/>
          <w:sz w:val="20"/>
          <w:szCs w:val="20"/>
        </w:rPr>
        <w:t xml:space="preserve">The Company has a cancelable five-year agreement with Lightspeed, a WPP subsidiary, to conduct a proof of concept and follow-on program to demonstrate the capability of designing and deploying a program </w:t>
      </w:r>
      <w:r>
        <w:rPr>
          <w:rFonts w:eastAsia="Times New Roman"/>
          <w:color w:val="000000"/>
          <w:sz w:val="20"/>
          <w:szCs w:val="20"/>
        </w:rPr>
        <w:t xml:space="preserve">to collect browsing and demographic data for individual participating households. The agreement, which relates to the Company's Total Home Panel product, provides that the Company makes payments to Lightspeed of approximately $5.0 million per year through </w:t>
      </w:r>
      <w:r>
        <w:rPr>
          <w:rFonts w:eastAsia="Times New Roman"/>
          <w:color w:val="000000"/>
          <w:sz w:val="20"/>
          <w:szCs w:val="20"/>
        </w:rPr>
        <w:t xml:space="preserve">December 2020. </w:t>
      </w:r>
    </w:p>
    <w:p w:rsidR="00000000" w:rsidRDefault="000242E9">
      <w:pPr>
        <w:jc w:val="both"/>
        <w:divId w:val="252014851"/>
        <w:rPr>
          <w:rFonts w:eastAsia="Times New Roman"/>
        </w:rPr>
      </w:pPr>
      <w:r>
        <w:rPr>
          <w:rFonts w:eastAsia="Times New Roman"/>
          <w:color w:val="000000"/>
          <w:sz w:val="20"/>
          <w:szCs w:val="20"/>
        </w:rPr>
        <w:t>The Company's results from transactions with WPP and its affiliates, as reflected in the Condensed Consolidated Statements of Operations and Comprehensive Loss, are detailed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35"/>
        <w:gridCol w:w="37"/>
        <w:gridCol w:w="36"/>
        <w:gridCol w:w="36"/>
        <w:gridCol w:w="36"/>
        <w:gridCol w:w="110"/>
        <w:gridCol w:w="945"/>
        <w:gridCol w:w="36"/>
        <w:gridCol w:w="36"/>
        <w:gridCol w:w="36"/>
        <w:gridCol w:w="36"/>
        <w:gridCol w:w="110"/>
        <w:gridCol w:w="945"/>
        <w:gridCol w:w="36"/>
        <w:gridCol w:w="36"/>
        <w:gridCol w:w="36"/>
        <w:gridCol w:w="36"/>
        <w:gridCol w:w="110"/>
        <w:gridCol w:w="945"/>
        <w:gridCol w:w="36"/>
        <w:gridCol w:w="36"/>
        <w:gridCol w:w="36"/>
        <w:gridCol w:w="36"/>
        <w:gridCol w:w="110"/>
        <w:gridCol w:w="945"/>
        <w:gridCol w:w="36"/>
      </w:tblGrid>
      <w:tr w:rsidR="00000000">
        <w:trPr>
          <w:divId w:val="505480079"/>
          <w:jc w:val="center"/>
        </w:trPr>
        <w:tc>
          <w:tcPr>
            <w:tcW w:w="50" w:type="pct"/>
            <w:vAlign w:val="center"/>
            <w:hideMark/>
          </w:tcPr>
          <w:p w:rsidR="00000000" w:rsidRDefault="000242E9">
            <w:pPr>
              <w:jc w:val="both"/>
              <w:rPr>
                <w:rFonts w:eastAsia="Times New Roman"/>
              </w:rPr>
            </w:pPr>
          </w:p>
        </w:tc>
        <w:tc>
          <w:tcPr>
            <w:tcW w:w="2139"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505480079"/>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505480079"/>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505480079"/>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5480079"/>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505480079"/>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2,461 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2,290 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7,969 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505480079"/>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5480079"/>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505480079"/>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257830366"/>
        <w:rPr>
          <w:rFonts w:eastAsia="Times New Roman"/>
        </w:rPr>
      </w:pPr>
      <w:r>
        <w:rPr>
          <w:rFonts w:eastAsia="Times New Roman"/>
          <w:color w:val="000000"/>
          <w:sz w:val="20"/>
          <w:szCs w:val="20"/>
        </w:rPr>
        <w:t>The Company has the following balances related to transactions with WPP and its affiliates, as reflected in the Con</w:t>
      </w:r>
      <w:r>
        <w:rPr>
          <w:rFonts w:eastAsia="Times New Roman"/>
          <w:color w:val="000000"/>
          <w:sz w:val="20"/>
          <w:szCs w:val="20"/>
        </w:rPr>
        <w:t>densed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trPr>
          <w:divId w:val="1716269694"/>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716269694"/>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1716269694"/>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171626969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71626969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2,405 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2,542 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1626969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1,181 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1,180 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1626969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1626969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71626969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2,523 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2,510 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16269694"/>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1626969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16269694"/>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1626969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1626969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1626969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16269694"/>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bl>
    <w:p w:rsidR="00000000" w:rsidRDefault="000242E9">
      <w:pPr>
        <w:jc w:val="both"/>
        <w:divId w:val="836189201"/>
        <w:rPr>
          <w:rFonts w:eastAsia="Times New Roman"/>
        </w:rPr>
      </w:pPr>
      <w:r>
        <w:rPr>
          <w:rFonts w:eastAsia="Times New Roman"/>
          <w:b/>
          <w:bCs/>
          <w:i/>
          <w:iCs/>
          <w:color w:val="000000"/>
          <w:sz w:val="20"/>
          <w:szCs w:val="20"/>
        </w:rPr>
        <w:t xml:space="preserve">Transactions with Starboard </w:t>
      </w:r>
    </w:p>
    <w:p w:rsidR="00000000" w:rsidRDefault="000242E9">
      <w:pPr>
        <w:jc w:val="both"/>
        <w:divId w:val="1965505961"/>
        <w:rPr>
          <w:rFonts w:eastAsia="Times New Roman"/>
        </w:rPr>
      </w:pPr>
      <w:r>
        <w:rPr>
          <w:rFonts w:eastAsia="Times New Roman"/>
          <w:color w:val="000000"/>
          <w:sz w:val="20"/>
          <w:szCs w:val="20"/>
        </w:rPr>
        <w:t>On January </w:t>
      </w:r>
      <w:r>
        <w:rPr>
          <w:rFonts w:eastAsia="Times New Roman"/>
          <w:color w:val="000000"/>
          <w:sz w:val="20"/>
          <w:szCs w:val="20"/>
        </w:rPr>
        <w:t xml:space="preserve">16, 2018, the Company entered into certain agreements with Starboard, then a beneficial owner of more than 5.0% of the Company's outstanding Common Stock. Refer to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 for further information regarding these agreements and subsequent amendments. As a result of these agreements and the transactions contemplated thereby, Starboard ceased to be a beneficial owner of more than 5.0% of the Company's outstandin</w:t>
      </w:r>
      <w:r>
        <w:rPr>
          <w:rFonts w:eastAsia="Times New Roman"/>
          <w:color w:val="000000"/>
          <w:sz w:val="20"/>
          <w:szCs w:val="20"/>
        </w:rPr>
        <w:t xml:space="preserve">g Common Stock on January 16, 2018. Included in the Condensed Consolidated Statements of Operations and Comprehensive Loss, the Company recorded interest expense related to Starboard of $8.4 million and $24.8 million during the three and nine months ended </w:t>
      </w:r>
      <w:r>
        <w:rPr>
          <w:rFonts w:eastAsia="Times New Roman"/>
          <w:color w:val="000000"/>
          <w:sz w:val="20"/>
          <w:szCs w:val="20"/>
        </w:rPr>
        <w:t>September 30, 2020, respectively; and $8.0 million and $22.8 million during the three and nine months ended September 30, 2019, respectively.</w:t>
      </w:r>
    </w:p>
    <w:p w:rsidR="00000000" w:rsidRDefault="000242E9">
      <w:pPr>
        <w:jc w:val="both"/>
        <w:divId w:val="485391652"/>
        <w:rPr>
          <w:rFonts w:eastAsia="Times New Roman"/>
        </w:rPr>
      </w:pPr>
      <w:r>
        <w:rPr>
          <w:rFonts w:eastAsia="Times New Roman"/>
          <w:color w:val="000000"/>
          <w:sz w:val="20"/>
          <w:szCs w:val="20"/>
        </w:rPr>
        <w:t>The Company has the following balances related to transactions with Starboard, as reflected in the Condensed Conso</w:t>
      </w:r>
      <w:r>
        <w:rPr>
          <w:rFonts w:eastAsia="Times New Roman"/>
          <w:color w:val="000000"/>
          <w:sz w:val="20"/>
          <w:szCs w:val="20"/>
        </w:rPr>
        <w:t>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trPr>
          <w:divId w:val="887912402"/>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887912402"/>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As of</w:t>
            </w:r>
          </w:p>
        </w:tc>
      </w:tr>
      <w:tr w:rsidR="00000000">
        <w:trPr>
          <w:divId w:val="887912402"/>
          <w:jc w:val="center"/>
        </w:trPr>
        <w:tc>
          <w:tcPr>
            <w:tcW w:w="0" w:type="auto"/>
            <w:gridSpan w:val="3"/>
            <w:tcMar>
              <w:top w:w="30" w:type="dxa"/>
              <w:left w:w="20" w:type="dxa"/>
              <w:bottom w:w="30" w:type="dxa"/>
              <w:right w:w="20" w:type="dxa"/>
            </w:tcMar>
            <w:vAlign w:val="bottom"/>
            <w:hideMark/>
          </w:tcPr>
          <w:p w:rsidR="00000000" w:rsidRDefault="000242E9">
            <w:pPr>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December 31, 2019</w:t>
            </w:r>
          </w:p>
        </w:tc>
      </w:tr>
      <w:tr w:rsidR="00000000">
        <w:trPr>
          <w:divId w:val="88791240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88791240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Financing derivatives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21,587 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887912402"/>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Senior secured convertible notes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190,533 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184,075 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88791240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3,060 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ind w:hanging="360"/>
        <w:jc w:val="both"/>
        <w:divId w:val="1890678255"/>
        <w:rPr>
          <w:rFonts w:eastAsia="Times New Roman"/>
        </w:rPr>
      </w:pPr>
      <w:r>
        <w:rPr>
          <w:rFonts w:eastAsia="Times New Roman"/>
          <w:b/>
          <w:bCs/>
          <w:color w:val="000000"/>
          <w:sz w:val="20"/>
          <w:szCs w:val="20"/>
        </w:rPr>
        <w:t>9.Commitments and Contingencies</w:t>
      </w:r>
    </w:p>
    <w:p w:rsidR="00000000" w:rsidRDefault="000242E9">
      <w:pPr>
        <w:jc w:val="both"/>
        <w:divId w:val="123041079"/>
        <w:rPr>
          <w:rFonts w:eastAsia="Times New Roman"/>
        </w:rPr>
      </w:pPr>
      <w:r>
        <w:rPr>
          <w:rFonts w:eastAsia="Times New Roman"/>
          <w:b/>
          <w:bCs/>
          <w:i/>
          <w:iCs/>
          <w:color w:val="000000"/>
          <w:sz w:val="20"/>
          <w:szCs w:val="20"/>
        </w:rPr>
        <w:t xml:space="preserve">Contingencies </w:t>
      </w:r>
    </w:p>
    <w:p w:rsidR="00000000" w:rsidRDefault="000242E9">
      <w:pPr>
        <w:jc w:val="both"/>
        <w:divId w:val="1590383542"/>
        <w:rPr>
          <w:rFonts w:eastAsia="Times New Roman"/>
        </w:rPr>
      </w:pPr>
      <w:r>
        <w:rPr>
          <w:rFonts w:eastAsia="Times New Roman"/>
          <w:color w:val="000000"/>
          <w:sz w:val="20"/>
          <w:szCs w:val="20"/>
        </w:rPr>
        <w:t>The Company is involved in various legal proceedings from time to time. The Company establishes reserves for specific legal proceedings when management determines that the likelihood of an unfavorable outcome is probable, and the amount of loss can be reas</w:t>
      </w:r>
      <w:r>
        <w:rPr>
          <w:rFonts w:eastAsia="Times New Roman"/>
          <w:color w:val="000000"/>
          <w:sz w:val="20"/>
          <w:szCs w:val="20"/>
        </w:rPr>
        <w:t>onably estimated. The Company has also identified certain other legal matters where an unfavorable outcome is reasonably possible and/or for which no estimate of possible losses can be made. In these cases, the Company does not establish a reserve until it</w:t>
      </w:r>
      <w:r>
        <w:rPr>
          <w:rFonts w:eastAsia="Times New Roman"/>
          <w:color w:val="000000"/>
          <w:sz w:val="20"/>
          <w:szCs w:val="20"/>
        </w:rPr>
        <w:t xml:space="preserve"> </w:t>
      </w:r>
    </w:p>
    <w:p w:rsidR="00000000" w:rsidRDefault="000242E9">
      <w:pPr>
        <w:jc w:val="center"/>
        <w:divId w:val="458380753"/>
        <w:rPr>
          <w:rFonts w:eastAsia="Times New Roman"/>
        </w:rPr>
      </w:pPr>
      <w:r>
        <w:rPr>
          <w:rFonts w:eastAsia="Times New Roman"/>
          <w:color w:val="000000"/>
          <w:sz w:val="20"/>
          <w:szCs w:val="20"/>
        </w:rPr>
        <w:t>19</w:t>
      </w:r>
    </w:p>
    <w:p w:rsidR="00000000" w:rsidRDefault="000242E9">
      <w:pPr>
        <w:rPr>
          <w:rFonts w:eastAsia="Times New Roman"/>
        </w:rPr>
      </w:pPr>
      <w:r>
        <w:rPr>
          <w:rFonts w:eastAsia="Times New Roman"/>
        </w:rPr>
        <w:pict>
          <v:rect id="_x0000_i1046" style="width:0;height:1.5pt" o:hralign="center" o:hrstd="t" o:hr="t" fillcolor="#a0a0a0" stroked="f"/>
        </w:pict>
      </w:r>
    </w:p>
    <w:p w:rsidR="00000000" w:rsidRDefault="000242E9">
      <w:pPr>
        <w:jc w:val="both"/>
        <w:divId w:val="123446593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234465933"/>
        <w:rPr>
          <w:rFonts w:eastAsia="Times New Roman"/>
        </w:rPr>
      </w:pPr>
    </w:p>
    <w:p w:rsidR="00000000" w:rsidRDefault="000242E9">
      <w:pPr>
        <w:jc w:val="both"/>
        <w:divId w:val="1606769134"/>
        <w:rPr>
          <w:rFonts w:eastAsia="Times New Roman"/>
        </w:rPr>
      </w:pPr>
      <w:r>
        <w:rPr>
          <w:rFonts w:eastAsia="Times New Roman"/>
          <w:color w:val="000000"/>
          <w:sz w:val="20"/>
          <w:szCs w:val="20"/>
        </w:rPr>
        <w:t>can reasonably estimate the loss. Legal fees are expensed as incurred. The outcomes of legal proceedings are inherently unpredictable, subject</w:t>
      </w:r>
      <w:r>
        <w:rPr>
          <w:rFonts w:eastAsia="Times New Roman"/>
          <w:color w:val="000000"/>
          <w:sz w:val="20"/>
          <w:szCs w:val="20"/>
        </w:rPr>
        <w:t xml:space="preserve"> to significant uncertainties, and could be material to the Company's operating results and cash flows for a particular period.</w:t>
      </w:r>
    </w:p>
    <w:p w:rsidR="00000000" w:rsidRDefault="000242E9">
      <w:pPr>
        <w:jc w:val="both"/>
        <w:divId w:val="572006966"/>
        <w:rPr>
          <w:rFonts w:eastAsia="Times New Roman"/>
        </w:rPr>
      </w:pPr>
      <w:r>
        <w:rPr>
          <w:rFonts w:eastAsia="Times New Roman"/>
          <w:b/>
          <w:bCs/>
          <w:i/>
          <w:iCs/>
          <w:color w:val="000000"/>
          <w:sz w:val="20"/>
          <w:szCs w:val="20"/>
        </w:rPr>
        <w:t>Privacy Class Action Litigation</w:t>
      </w:r>
    </w:p>
    <w:p w:rsidR="00000000" w:rsidRDefault="000242E9">
      <w:pPr>
        <w:jc w:val="both"/>
        <w:divId w:val="2141992689"/>
        <w:rPr>
          <w:rFonts w:eastAsia="Times New Roman"/>
        </w:rPr>
      </w:pPr>
      <w:r>
        <w:rPr>
          <w:rFonts w:eastAsia="Times New Roman"/>
          <w:color w:val="000000"/>
          <w:sz w:val="20"/>
          <w:szCs w:val="20"/>
        </w:rPr>
        <w:t>On September 11, 2017, the Company and a wholly-owned subsidiary, Full Circle Studies, Inc., ("F</w:t>
      </w:r>
      <w:r>
        <w:rPr>
          <w:rFonts w:eastAsia="Times New Roman"/>
          <w:color w:val="000000"/>
          <w:sz w:val="20"/>
          <w:szCs w:val="20"/>
        </w:rPr>
        <w:t>ull Circle"), received demand letters on behalf of named plaintiffs and all others similarly situated alleging that the Company and Full Circle collected personal information from users under the age of 13 without verifiable parental consent in violation o</w:t>
      </w:r>
      <w:r>
        <w:rPr>
          <w:rFonts w:eastAsia="Times New Roman"/>
          <w:color w:val="000000"/>
          <w:sz w:val="20"/>
          <w:szCs w:val="20"/>
        </w:rPr>
        <w:t>f Massachusetts law and the federal Children's Online Privacy Protection Act. The letters alleged that the Company and Full Circle collected such personal information by embedding advertising software development kits ("SDKs") in applications created or de</w:t>
      </w:r>
      <w:r>
        <w:rPr>
          <w:rFonts w:eastAsia="Times New Roman"/>
          <w:color w:val="000000"/>
          <w:sz w:val="20"/>
          <w:szCs w:val="20"/>
        </w:rPr>
        <w:t>veloped by The Walt Disney Company. The letters sought monetary damages, attorneys' fees and damages under Massachusetts law. On June 4, 2018, the plaintiffs filed amended complaints with the U.S. District Court for the Northern District of California addi</w:t>
      </w:r>
      <w:r>
        <w:rPr>
          <w:rFonts w:eastAsia="Times New Roman"/>
          <w:color w:val="000000"/>
          <w:sz w:val="20"/>
          <w:szCs w:val="20"/>
        </w:rPr>
        <w:t xml:space="preserve">ng the Company and Full Circle as defendants in a purported class action (captioned </w:t>
      </w:r>
      <w:r>
        <w:rPr>
          <w:rFonts w:eastAsia="Times New Roman"/>
          <w:i/>
          <w:iCs/>
          <w:color w:val="000000"/>
          <w:sz w:val="20"/>
          <w:szCs w:val="20"/>
        </w:rPr>
        <w:t xml:space="preserve">Rushing, et al v. The Walt Disney Company, et al., </w:t>
      </w:r>
      <w:r>
        <w:rPr>
          <w:rFonts w:eastAsia="Times New Roman"/>
          <w:color w:val="000000"/>
          <w:sz w:val="20"/>
          <w:szCs w:val="20"/>
        </w:rPr>
        <w:t>Case No. 3:17-cv-04419-JD) against Disney, Twitter and other defendants, alleging violations of California's constitution</w:t>
      </w:r>
      <w:r>
        <w:rPr>
          <w:rFonts w:eastAsia="Times New Roman"/>
          <w:color w:val="000000"/>
          <w:sz w:val="20"/>
          <w:szCs w:val="20"/>
        </w:rPr>
        <w:t>al right to privacy and intrusion upon seclusion law, New York's deceptive trade practices statute, and Massachusetts' deceptive trade practices and right to privacy statutes. The complaints alleged damages in excess of $5.0 million, with any award to be a</w:t>
      </w:r>
      <w:r>
        <w:rPr>
          <w:rFonts w:eastAsia="Times New Roman"/>
          <w:color w:val="000000"/>
          <w:sz w:val="20"/>
          <w:szCs w:val="20"/>
        </w:rPr>
        <w:t>pportioned among the defendants. On February 26, 2020, the Company and Full Circle reached an agreement with the plaintiffs to settle the complaints in full, with no admission of liability, in return for injunctive relief and payment of the plaintiffs' att</w:t>
      </w:r>
      <w:r>
        <w:rPr>
          <w:rFonts w:eastAsia="Times New Roman"/>
          <w:color w:val="000000"/>
          <w:sz w:val="20"/>
          <w:szCs w:val="20"/>
        </w:rPr>
        <w:t>orneys' fees, to be covered by the Company's insurance. The settlement received preliminary court approval on September 24, 2020; it remains subject to final court approval.</w:t>
      </w:r>
    </w:p>
    <w:p w:rsidR="00000000" w:rsidRDefault="000242E9">
      <w:pPr>
        <w:jc w:val="both"/>
        <w:divId w:val="1199661861"/>
        <w:rPr>
          <w:rFonts w:eastAsia="Times New Roman"/>
        </w:rPr>
      </w:pPr>
      <w:r>
        <w:rPr>
          <w:rFonts w:eastAsia="Times New Roman"/>
          <w:b/>
          <w:bCs/>
          <w:i/>
          <w:iCs/>
          <w:color w:val="000000"/>
          <w:sz w:val="20"/>
          <w:szCs w:val="20"/>
        </w:rPr>
        <w:t xml:space="preserve">Securities Class Action Litigation </w:t>
      </w:r>
    </w:p>
    <w:p w:rsidR="00000000" w:rsidRDefault="000242E9">
      <w:pPr>
        <w:jc w:val="both"/>
        <w:divId w:val="671571733"/>
        <w:rPr>
          <w:rFonts w:eastAsia="Times New Roman"/>
        </w:rPr>
      </w:pPr>
      <w:r>
        <w:rPr>
          <w:rFonts w:eastAsia="Times New Roman"/>
          <w:color w:val="000000"/>
          <w:sz w:val="20"/>
          <w:szCs w:val="20"/>
        </w:rPr>
        <w:t>On April 10, 2019, Sergii Bratusov, a purporte</w:t>
      </w:r>
      <w:r>
        <w:rPr>
          <w:rFonts w:eastAsia="Times New Roman"/>
          <w:color w:val="000000"/>
          <w:sz w:val="20"/>
          <w:szCs w:val="20"/>
        </w:rPr>
        <w:t xml:space="preserve">d shareholder of the Company, filed a putative class action complaint against the Company. The case, captioned </w:t>
      </w:r>
      <w:r>
        <w:rPr>
          <w:rFonts w:eastAsia="Times New Roman"/>
          <w:i/>
          <w:iCs/>
          <w:color w:val="000000"/>
          <w:sz w:val="20"/>
          <w:szCs w:val="20"/>
        </w:rPr>
        <w:t>Bratusov v. comScore, Inc., et al.</w:t>
      </w:r>
      <w:r>
        <w:rPr>
          <w:rFonts w:eastAsia="Times New Roman"/>
          <w:color w:val="000000"/>
          <w:sz w:val="20"/>
          <w:szCs w:val="20"/>
        </w:rPr>
        <w:t>, Case No. 19 Civ. 03210, was filed in the U.S. District Court for the Southern District of New York and also n</w:t>
      </w:r>
      <w:r>
        <w:rPr>
          <w:rFonts w:eastAsia="Times New Roman"/>
          <w:color w:val="000000"/>
          <w:sz w:val="20"/>
          <w:szCs w:val="20"/>
        </w:rPr>
        <w:t>amed the Company's Chief Financial Officer, Gregory Fink, and the Company's former Chief Executive Officer, Bryan Wiener, as defendants. The complaint, which was amended on September 30, 2019, purported to bring claims on behalf of all persons and entities</w:t>
      </w:r>
      <w:r>
        <w:rPr>
          <w:rFonts w:eastAsia="Times New Roman"/>
          <w:color w:val="000000"/>
          <w:sz w:val="20"/>
          <w:szCs w:val="20"/>
        </w:rPr>
        <w:t xml:space="preserve"> that acquired securities of the Company between February 28, 2019 and August 7, 2019 and alleged that the Company, Mr. Wiener, and Mr. Fink violated Section 10(b) of the Exchange Act and Rule 10b-5 promulgated thereunder, by allegedly failing to disclose </w:t>
      </w:r>
      <w:r>
        <w:rPr>
          <w:rFonts w:eastAsia="Times New Roman"/>
          <w:color w:val="000000"/>
          <w:sz w:val="20"/>
          <w:szCs w:val="20"/>
        </w:rPr>
        <w:t xml:space="preserve">in public statements in February and March 2019 material information concerning a disagreement relating to the Company's business strategy. The complaint also alleged that Mr. Wiener and Mr. Fink, acting as control persons of the Company, violated Section </w:t>
      </w:r>
      <w:r>
        <w:rPr>
          <w:rFonts w:eastAsia="Times New Roman"/>
          <w:color w:val="000000"/>
          <w:sz w:val="20"/>
          <w:szCs w:val="20"/>
        </w:rPr>
        <w:t>20(a) of the Exchange Act in connection with the Company's alleged failure to disclose material information. The complaint sought a determination of the propriety of the class, compensatory damages and the award of reasonable costs and expenses incurred in</w:t>
      </w:r>
      <w:r>
        <w:rPr>
          <w:rFonts w:eastAsia="Times New Roman"/>
          <w:color w:val="000000"/>
          <w:sz w:val="20"/>
          <w:szCs w:val="20"/>
        </w:rPr>
        <w:t xml:space="preserve"> the action. On June 24, 2020, the Court granted the defendants' motion to dismiss the complaint for failure to state a claim. On July 24, 2020, the complaint was dismissed with prejudice.</w:t>
      </w:r>
    </w:p>
    <w:p w:rsidR="00000000" w:rsidRDefault="000242E9">
      <w:pPr>
        <w:jc w:val="both"/>
        <w:divId w:val="1596788544"/>
        <w:rPr>
          <w:rFonts w:eastAsia="Times New Roman"/>
        </w:rPr>
      </w:pPr>
      <w:r>
        <w:rPr>
          <w:rFonts w:eastAsia="Times New Roman"/>
          <w:b/>
          <w:bCs/>
          <w:i/>
          <w:iCs/>
          <w:color w:val="000000"/>
          <w:sz w:val="20"/>
          <w:szCs w:val="20"/>
        </w:rPr>
        <w:t>Other Matters</w:t>
      </w:r>
    </w:p>
    <w:p w:rsidR="00000000" w:rsidRDefault="000242E9">
      <w:pPr>
        <w:jc w:val="both"/>
        <w:divId w:val="654072039"/>
        <w:rPr>
          <w:rFonts w:eastAsia="Times New Roman"/>
        </w:rPr>
      </w:pPr>
      <w:r>
        <w:rPr>
          <w:rFonts w:eastAsia="Times New Roman"/>
          <w:color w:val="000000"/>
          <w:sz w:val="20"/>
          <w:szCs w:val="20"/>
        </w:rPr>
        <w:t>In addition to the matters described above, the Compa</w:t>
      </w:r>
      <w:r>
        <w:rPr>
          <w:rFonts w:eastAsia="Times New Roman"/>
          <w:color w:val="000000"/>
          <w:sz w:val="20"/>
          <w:szCs w:val="20"/>
        </w:rPr>
        <w:t>ny is, and may become, a party to a variety of legal proceedings from time to time that arise in the normal course of the Company's business. While the results of such legal proceedings cannot be predicted with certainty, management believes that, based on</w:t>
      </w:r>
      <w:r>
        <w:rPr>
          <w:rFonts w:eastAsia="Times New Roman"/>
          <w:color w:val="000000"/>
          <w:sz w:val="20"/>
          <w:szCs w:val="20"/>
        </w:rPr>
        <w:t xml:space="preserve"> current knowledge, the final outcome of any such current pending matters will not have a material adverse effect on the Company's financial position, results of operations or cash flows. Regardless of the outcome, legal proceedings can have an adverse eff</w:t>
      </w:r>
      <w:r>
        <w:rPr>
          <w:rFonts w:eastAsia="Times New Roman"/>
          <w:color w:val="000000"/>
          <w:sz w:val="20"/>
          <w:szCs w:val="20"/>
        </w:rPr>
        <w:t>ect on the Company because of defense costs, diversion of management resources and other factors.</w:t>
      </w:r>
    </w:p>
    <w:p w:rsidR="00000000" w:rsidRDefault="000242E9">
      <w:pPr>
        <w:jc w:val="both"/>
        <w:divId w:val="1121146874"/>
        <w:rPr>
          <w:rFonts w:eastAsia="Times New Roman"/>
        </w:rPr>
      </w:pPr>
      <w:r>
        <w:rPr>
          <w:rFonts w:eastAsia="Times New Roman"/>
          <w:b/>
          <w:bCs/>
          <w:i/>
          <w:iCs/>
          <w:color w:val="000000"/>
          <w:sz w:val="20"/>
          <w:szCs w:val="20"/>
        </w:rPr>
        <w:t>Indemnification</w:t>
      </w:r>
    </w:p>
    <w:p w:rsidR="00000000" w:rsidRDefault="000242E9">
      <w:pPr>
        <w:jc w:val="both"/>
        <w:divId w:val="724648111"/>
        <w:rPr>
          <w:rFonts w:eastAsia="Times New Roman"/>
        </w:rPr>
      </w:pPr>
      <w:r>
        <w:rPr>
          <w:rFonts w:eastAsia="Times New Roman"/>
          <w:color w:val="000000"/>
          <w:sz w:val="20"/>
          <w:szCs w:val="20"/>
        </w:rPr>
        <w:t>The Company has entered into indemnification agreements with each of the Company's directors and certain officers, and the Company's amended a</w:t>
      </w:r>
      <w:r>
        <w:rPr>
          <w:rFonts w:eastAsia="Times New Roman"/>
          <w:color w:val="000000"/>
          <w:sz w:val="20"/>
          <w:szCs w:val="20"/>
        </w:rPr>
        <w:t>nd restated certificate of incorporation requires it to indemnify each of its officers and directors, to the fullest extent permitted by Delaware law, who was or is a party or is threatened to be made a party to any threatened, pending or completed action,</w:t>
      </w:r>
      <w:r>
        <w:rPr>
          <w:rFonts w:eastAsia="Times New Roman"/>
          <w:color w:val="000000"/>
          <w:sz w:val="20"/>
          <w:szCs w:val="20"/>
        </w:rPr>
        <w:t xml:space="preserve"> suit or proceeding by reason of the fact that he or she is or was a director or officer of the Company. The Company has paid and may in the future pay legal counsel fees incurred by current and former directors and officers who are involved in legal proce</w:t>
      </w:r>
      <w:r>
        <w:rPr>
          <w:rFonts w:eastAsia="Times New Roman"/>
          <w:color w:val="000000"/>
          <w:sz w:val="20"/>
          <w:szCs w:val="20"/>
        </w:rPr>
        <w:t xml:space="preserve">edings that require indemnification. </w:t>
      </w:r>
    </w:p>
    <w:p w:rsidR="00000000" w:rsidRDefault="000242E9">
      <w:pPr>
        <w:jc w:val="both"/>
        <w:divId w:val="303434178"/>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connection with th</w:t>
      </w:r>
      <w:r>
        <w:rPr>
          <w:rFonts w:eastAsia="Times New Roman"/>
          <w:color w:val="000000"/>
          <w:sz w:val="20"/>
          <w:szCs w:val="20"/>
        </w:rPr>
        <w:t>ese obligations.</w:t>
      </w:r>
    </w:p>
    <w:p w:rsidR="00000000" w:rsidRDefault="000242E9">
      <w:pPr>
        <w:ind w:hanging="360"/>
        <w:jc w:val="both"/>
        <w:divId w:val="1533954231"/>
        <w:rPr>
          <w:rFonts w:eastAsia="Times New Roman"/>
        </w:rPr>
      </w:pPr>
      <w:r>
        <w:rPr>
          <w:rFonts w:eastAsia="Times New Roman"/>
          <w:b/>
          <w:bCs/>
          <w:color w:val="000000"/>
          <w:sz w:val="20"/>
          <w:szCs w:val="20"/>
        </w:rPr>
        <w:t>10.Organizational Restructuring</w:t>
      </w:r>
    </w:p>
    <w:p w:rsidR="00000000" w:rsidRDefault="000242E9">
      <w:pPr>
        <w:jc w:val="both"/>
        <w:divId w:val="547647934"/>
        <w:rPr>
          <w:rFonts w:eastAsia="Times New Roman"/>
        </w:rPr>
      </w:pPr>
      <w:r>
        <w:rPr>
          <w:rFonts w:eastAsia="Times New Roman"/>
          <w:color w:val="000000"/>
          <w:sz w:val="20"/>
          <w:szCs w:val="20"/>
        </w:rPr>
        <w:t xml:space="preserve">In 2019, the Company implemented two reduction in force plans ("May 2019 Restructuring Plan" and "August 2019 Restructuring Plan") in order to reduce costs and more effectively align resources with business </w:t>
      </w:r>
      <w:r>
        <w:rPr>
          <w:rFonts w:eastAsia="Times New Roman"/>
          <w:color w:val="000000"/>
          <w:sz w:val="20"/>
          <w:szCs w:val="20"/>
        </w:rPr>
        <w:t>priorities. The May 2019 Restructuring Plan and the August 2019 Restructuring Plan are complete as of September 30, 2020, with remaining payments for the August 2019 Restructuring Plan through March 2021.</w:t>
      </w:r>
    </w:p>
    <w:p w:rsidR="00000000" w:rsidRDefault="000242E9">
      <w:pPr>
        <w:jc w:val="center"/>
        <w:divId w:val="572395400"/>
        <w:rPr>
          <w:rFonts w:eastAsia="Times New Roman"/>
        </w:rPr>
      </w:pPr>
      <w:r>
        <w:rPr>
          <w:rFonts w:eastAsia="Times New Roman"/>
          <w:color w:val="000000"/>
          <w:sz w:val="20"/>
          <w:szCs w:val="20"/>
        </w:rPr>
        <w:t>20</w:t>
      </w:r>
    </w:p>
    <w:p w:rsidR="00000000" w:rsidRDefault="000242E9">
      <w:pPr>
        <w:rPr>
          <w:rFonts w:eastAsia="Times New Roman"/>
        </w:rPr>
      </w:pPr>
      <w:r>
        <w:rPr>
          <w:rFonts w:eastAsia="Times New Roman"/>
        </w:rPr>
        <w:pict>
          <v:rect id="_x0000_i1047" style="width:0;height:1.5pt" o:hralign="center" o:hrstd="t" o:hr="t" fillcolor="#a0a0a0" stroked="f"/>
        </w:pict>
      </w:r>
    </w:p>
    <w:p w:rsidR="00000000" w:rsidRDefault="000242E9">
      <w:pPr>
        <w:jc w:val="both"/>
        <w:divId w:val="44249935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442499351"/>
        <w:rPr>
          <w:rFonts w:eastAsia="Times New Roman"/>
        </w:rPr>
      </w:pPr>
    </w:p>
    <w:p w:rsidR="00000000" w:rsidRDefault="000242E9">
      <w:pPr>
        <w:jc w:val="both"/>
        <w:divId w:val="1376150927"/>
        <w:rPr>
          <w:rFonts w:eastAsia="Times New Roman"/>
        </w:rPr>
      </w:pPr>
      <w:r>
        <w:rPr>
          <w:rFonts w:eastAsia="Times New Roman"/>
          <w:color w:val="000000"/>
          <w:sz w:val="20"/>
          <w:szCs w:val="20"/>
        </w:rPr>
        <w:t>The table below summarizes the balance of the restructuring liability as of September 30, 2020, which is recorded in accrued expenses in the C</w:t>
      </w:r>
      <w:r>
        <w:rPr>
          <w:rFonts w:eastAsia="Times New Roman"/>
          <w:color w:val="000000"/>
          <w:sz w:val="20"/>
          <w:szCs w:val="20"/>
        </w:rPr>
        <w:t>ondensed Consolidated Balance Sheets, and the changes in the accrued amounts for the nine months ended September 30, 2020, by restructuring plan: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1"/>
        <w:gridCol w:w="961"/>
        <w:gridCol w:w="36"/>
        <w:gridCol w:w="36"/>
        <w:gridCol w:w="36"/>
        <w:gridCol w:w="36"/>
        <w:gridCol w:w="111"/>
        <w:gridCol w:w="961"/>
        <w:gridCol w:w="36"/>
      </w:tblGrid>
      <w:tr w:rsidR="00000000">
        <w:trPr>
          <w:divId w:val="1406144960"/>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40614496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May 2019 Restructuring Plan</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August 2019 Restructuring Plan</w:t>
            </w:r>
          </w:p>
        </w:tc>
      </w:tr>
      <w:tr w:rsidR="00000000">
        <w:trPr>
          <w:divId w:val="140614496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406144960"/>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40614496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ind w:firstLine="270"/>
              <w:divId w:val="1433892413"/>
              <w:rPr>
                <w:rFonts w:eastAsia="Times New Roman"/>
              </w:rPr>
            </w:pPr>
            <w:r>
              <w:rPr>
                <w:rFonts w:eastAsia="Times New Roman"/>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rsidR="00000000" w:rsidRDefault="000242E9">
            <w:pPr>
              <w:ind w:firstLine="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406144960"/>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40614496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Accrued Balance as of September 30, 2020</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837304496"/>
        <w:rPr>
          <w:rFonts w:eastAsia="Times New Roman"/>
        </w:rPr>
      </w:pPr>
    </w:p>
    <w:p w:rsidR="00000000" w:rsidRDefault="000242E9">
      <w:pPr>
        <w:jc w:val="center"/>
        <w:divId w:val="118575662"/>
        <w:rPr>
          <w:rFonts w:eastAsia="Times New Roman"/>
        </w:rPr>
      </w:pPr>
      <w:r>
        <w:rPr>
          <w:rFonts w:eastAsia="Times New Roman"/>
          <w:color w:val="000000"/>
          <w:sz w:val="20"/>
          <w:szCs w:val="20"/>
        </w:rPr>
        <w:t>21</w:t>
      </w:r>
    </w:p>
    <w:p w:rsidR="00000000" w:rsidRDefault="000242E9">
      <w:pPr>
        <w:rPr>
          <w:rFonts w:eastAsia="Times New Roman"/>
        </w:rPr>
      </w:pPr>
      <w:r>
        <w:rPr>
          <w:rFonts w:eastAsia="Times New Roman"/>
        </w:rPr>
        <w:pict>
          <v:rect id="_x0000_i1048" style="width:0;height:1.5pt" o:hralign="center" o:hrstd="t" o:hr="t" fillcolor="#a0a0a0" stroked="f"/>
        </w:pict>
      </w:r>
    </w:p>
    <w:p w:rsidR="00000000" w:rsidRDefault="000242E9">
      <w:pPr>
        <w:jc w:val="both"/>
        <w:divId w:val="1815877309"/>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815877309"/>
        <w:rPr>
          <w:rFonts w:eastAsia="Times New Roman"/>
        </w:rPr>
      </w:pPr>
    </w:p>
    <w:p w:rsidR="00000000" w:rsidRDefault="000242E9">
      <w:pPr>
        <w:jc w:val="both"/>
        <w:divId w:val="1603026228"/>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CONDITION AND RESULTS OF OPERATIONS</w:t>
      </w:r>
    </w:p>
    <w:p w:rsidR="00000000" w:rsidRDefault="000242E9">
      <w:pPr>
        <w:jc w:val="both"/>
        <w:divId w:val="76559838"/>
        <w:rPr>
          <w:rFonts w:eastAsia="Times New Roman"/>
        </w:rPr>
      </w:pPr>
      <w:r>
        <w:rPr>
          <w:rFonts w:eastAsia="Times New Roman"/>
          <w:i/>
          <w:iCs/>
          <w:color w:val="000000"/>
          <w:sz w:val="20"/>
          <w:szCs w:val="20"/>
        </w:rPr>
        <w:t>The following discussion and analysis of our</w:t>
      </w:r>
      <w:r>
        <w:rPr>
          <w:rFonts w:eastAsia="Times New Roman"/>
          <w:i/>
          <w:iCs/>
          <w:color w:val="000000"/>
          <w:sz w:val="20"/>
          <w:szCs w:val="20"/>
        </w:rPr>
        <w:t xml:space="preserve"> financial condition and results of operations should be read in conjunction with our Condensed Consolidated Financial Statements and the related Notes to Condensed Consolidated Financial Statements included in Part I, </w:t>
      </w:r>
      <w:hyperlink w:anchor="if7a518a588154f7ab52f3429da641a28_16" w:history="1">
        <w:r>
          <w:rPr>
            <w:rStyle w:val="a3"/>
            <w:rFonts w:eastAsia="Times New Roman"/>
            <w:i/>
            <w:iCs/>
            <w:sz w:val="20"/>
            <w:szCs w:val="20"/>
          </w:rPr>
          <w:t>Item 1</w:t>
        </w:r>
      </w:hyperlink>
      <w:r>
        <w:rPr>
          <w:rFonts w:eastAsia="Times New Roman"/>
          <w:i/>
          <w:iCs/>
          <w:color w:val="000000"/>
          <w:sz w:val="20"/>
          <w:szCs w:val="20"/>
        </w:rPr>
        <w:t xml:space="preserve"> of this Quarterly Report on Form 10-Q, or 10-Q. In addition to historical financial information, the following discussion and analysis contains forward-looking statements that involve risks, uncertainties and assumptions. Our a</w:t>
      </w:r>
      <w:r>
        <w:rPr>
          <w:rFonts w:eastAsia="Times New Roman"/>
          <w:i/>
          <w:iCs/>
          <w:color w:val="000000"/>
          <w:sz w:val="20"/>
          <w:szCs w:val="20"/>
        </w:rPr>
        <w:t xml:space="preserve">ctual results and timing of selected events in future periods may differ materially from those anticipated or implied in these forward-looking statements as a result of many factors, including those discussed under </w:t>
      </w:r>
      <w:hyperlink r:id="rId8" w:anchor="s626CB24FF3DC5DF49DE365CF200BB9B8"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2019 (the "2019 10-K"), under </w:t>
      </w:r>
      <w:hyperlink r:id="rId9"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March 31, 2020, under </w:t>
      </w:r>
      <w:hyperlink r:id="rId10" w:anchor="if3309f2850e6489fbcf3fb9276fba379_142"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June 30,2020, under </w:t>
      </w:r>
      <w:hyperlink w:anchor="if7a518a588154f7ab52f3429da641a28_130"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f7a518a588154f7ab52f3429da641a28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rsidR="00000000" w:rsidRDefault="000242E9">
      <w:pPr>
        <w:jc w:val="both"/>
        <w:divId w:val="226769694"/>
        <w:rPr>
          <w:rFonts w:eastAsia="Times New Roman"/>
        </w:rPr>
      </w:pPr>
      <w:r>
        <w:rPr>
          <w:rFonts w:eastAsia="Times New Roman"/>
          <w:i/>
          <w:iCs/>
          <w:color w:val="000000"/>
          <w:sz w:val="20"/>
          <w:szCs w:val="20"/>
        </w:rPr>
        <w:t>In an effort to contain the COVID-19 pandemic or slow its spread, governments around the world have enacted various measures, including o</w:t>
      </w:r>
      <w:r>
        <w:rPr>
          <w:rFonts w:eastAsia="Times New Roman"/>
          <w:i/>
          <w:iCs/>
          <w:color w:val="000000"/>
          <w:sz w:val="20"/>
          <w:szCs w:val="20"/>
        </w:rPr>
        <w:t>rders to close all businesses not deemed "essential", isolate residents to their homes or places of residence, and practice social distancing when engaging in essential activities. To date, these measures have had some impact on our business, including wit</w:t>
      </w:r>
      <w:r>
        <w:rPr>
          <w:rFonts w:eastAsia="Times New Roman"/>
          <w:i/>
          <w:iCs/>
          <w:color w:val="000000"/>
          <w:sz w:val="20"/>
          <w:szCs w:val="20"/>
        </w:rPr>
        <w:t xml:space="preserve">h respect to the execution of new and renewal contracts, the impact of closed movie theaters on our customers, customer payment delays and requests to modify contractual payment terms. These conditions have negatively impacted our liquidity and cash flows </w:t>
      </w:r>
      <w:r>
        <w:rPr>
          <w:rFonts w:eastAsia="Times New Roman"/>
          <w:i/>
          <w:iCs/>
          <w:color w:val="000000"/>
          <w:sz w:val="20"/>
          <w:szCs w:val="20"/>
        </w:rPr>
        <w:t>to some extent and are expected to continue to have an impact in future periods. As discussed in more detail below, we cannot quantify the impact that the COVID-19 pandemic and related government actions may have on our business or liquidity in the future.</w:t>
      </w:r>
      <w:r>
        <w:rPr>
          <w:rFonts w:eastAsia="Times New Roman"/>
          <w:i/>
          <w:iCs/>
          <w:color w:val="000000"/>
          <w:sz w:val="20"/>
          <w:szCs w:val="20"/>
        </w:rPr>
        <w:t xml:space="preserve"> We have taken actions to mitigate the impact of COVID-19 and will continue to actively monitor the situation. We may take further actions that alter our business operations as may be required by federal, state, local or foreign authorities, or that we det</w:t>
      </w:r>
      <w:r>
        <w:rPr>
          <w:rFonts w:eastAsia="Times New Roman"/>
          <w:i/>
          <w:iCs/>
          <w:color w:val="000000"/>
          <w:sz w:val="20"/>
          <w:szCs w:val="20"/>
        </w:rPr>
        <w:t>ermine are in the best interests of our employees, customers, partners and stockholders. The full extent of the impact of the COVID-19 pandemic on our business, operations and financial results will depend on numerous evolving factors that we cannot curren</w:t>
      </w:r>
      <w:r>
        <w:rPr>
          <w:rFonts w:eastAsia="Times New Roman"/>
          <w:i/>
          <w:iCs/>
          <w:color w:val="000000"/>
          <w:sz w:val="20"/>
          <w:szCs w:val="20"/>
        </w:rPr>
        <w:t xml:space="preserve">tly predict. See </w:t>
      </w:r>
      <w:hyperlink w:anchor="if7a518a588154f7ab52f3429da641a28_130" w:history="1">
        <w:r>
          <w:rPr>
            <w:rStyle w:val="a3"/>
            <w:rFonts w:eastAsia="Times New Roman"/>
            <w:i/>
            <w:iCs/>
            <w:sz w:val="20"/>
            <w:szCs w:val="20"/>
          </w:rPr>
          <w:t>Item 1A</w:t>
        </w:r>
      </w:hyperlink>
      <w:r>
        <w:rPr>
          <w:rFonts w:eastAsia="Times New Roman"/>
          <w:i/>
          <w:iCs/>
          <w:color w:val="000000"/>
          <w:sz w:val="20"/>
          <w:szCs w:val="20"/>
        </w:rPr>
        <w:t xml:space="preserve">, "Risk Factors" in this 10-Q, </w:t>
      </w:r>
      <w:hyperlink r:id="rId11"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March 31, 2020, and </w:t>
      </w:r>
      <w:hyperlink r:id="rId12" w:anchor="if3309f2850e6489fbcf3fb9276fba379_7"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June 30, 2020 for additional details. </w:t>
      </w:r>
    </w:p>
    <w:p w:rsidR="00000000" w:rsidRDefault="000242E9">
      <w:pPr>
        <w:jc w:val="both"/>
        <w:divId w:val="199057604"/>
        <w:rPr>
          <w:rFonts w:eastAsia="Times New Roman"/>
        </w:rPr>
      </w:pPr>
      <w:r>
        <w:rPr>
          <w:rFonts w:eastAsia="Times New Roman"/>
          <w:b/>
          <w:bCs/>
          <w:color w:val="000000"/>
          <w:sz w:val="20"/>
          <w:szCs w:val="20"/>
        </w:rPr>
        <w:t>Overview</w:t>
      </w:r>
    </w:p>
    <w:p w:rsidR="00000000" w:rsidRDefault="000242E9">
      <w:pPr>
        <w:jc w:val="both"/>
        <w:divId w:val="1804619250"/>
        <w:rPr>
          <w:rFonts w:eastAsia="Times New Roman"/>
        </w:rPr>
      </w:pPr>
      <w:r>
        <w:rPr>
          <w:rFonts w:eastAsia="Times New Roman"/>
          <w:color w:val="000000"/>
          <w:sz w:val="20"/>
          <w:szCs w:val="20"/>
        </w:rPr>
        <w:t xml:space="preserve">We are a global information and analytics company that measures advertising, content, and the consumer audiences of each, </w:t>
      </w:r>
      <w:r>
        <w:rPr>
          <w:rFonts w:eastAsia="Times New Roman"/>
          <w:color w:val="000000"/>
          <w:sz w:val="20"/>
          <w:szCs w:val="20"/>
        </w:rPr>
        <w:t>across media platforms. We create our products using a global data platform that combines information on digital platforms (smartphones, tablets and computers), television ("TV") and movie screens with demographics and other descriptive information in a pr</w:t>
      </w:r>
      <w:r>
        <w:rPr>
          <w:rFonts w:eastAsia="Times New Roman"/>
          <w:color w:val="000000"/>
          <w:sz w:val="20"/>
          <w:szCs w:val="20"/>
        </w:rPr>
        <w:t>ivacy-focused way. We have developed proprietary data science that enables measurement of person-level and household-level audiences, removing duplicated viewing across devices and over time. This combination of data and methods enables a common standard f</w:t>
      </w:r>
      <w:r>
        <w:rPr>
          <w:rFonts w:eastAsia="Times New Roman"/>
          <w:color w:val="000000"/>
          <w:sz w:val="20"/>
          <w:szCs w:val="20"/>
        </w:rPr>
        <w:t>or buyers and sellers to transact on advertising. This helps companies across the media ecosystem better understand and monetize their audiences and develop marketing plans and products to more efficiently and effectively reach those audiences. Our ability</w:t>
      </w:r>
      <w:r>
        <w:rPr>
          <w:rFonts w:eastAsia="Times New Roman"/>
          <w:color w:val="000000"/>
          <w:sz w:val="20"/>
          <w:szCs w:val="20"/>
        </w:rPr>
        <w:t xml:space="preserve"> to unify behavioral and other descriptive data enables us to provide audience ratings, advertising verification, and granular consumer segments that describe hundreds of millions of consumers. Our customers include digital publishers, television networks,</w:t>
      </w:r>
      <w:r>
        <w:rPr>
          <w:rFonts w:eastAsia="Times New Roman"/>
          <w:color w:val="000000"/>
          <w:sz w:val="20"/>
          <w:szCs w:val="20"/>
        </w:rPr>
        <w:t xml:space="preserve"> movie studios, content owners, advertisers, agencies and technology providers.</w:t>
      </w:r>
    </w:p>
    <w:p w:rsidR="00000000" w:rsidRDefault="000242E9">
      <w:pPr>
        <w:jc w:val="both"/>
        <w:divId w:val="1390154829"/>
        <w:rPr>
          <w:rFonts w:eastAsia="Times New Roman"/>
        </w:rPr>
      </w:pPr>
      <w:r>
        <w:rPr>
          <w:rFonts w:eastAsia="Times New Roman"/>
          <w:color w:val="000000"/>
          <w:sz w:val="20"/>
          <w:szCs w:val="20"/>
        </w:rPr>
        <w:t xml:space="preserve">The platforms we measure include TV, smartphones, computers, tablets, over-the-top ("OTT") devices and movie theaters. The information we analyze crosses geographies, types of </w:t>
      </w:r>
      <w:r>
        <w:rPr>
          <w:rFonts w:eastAsia="Times New Roman"/>
          <w:color w:val="000000"/>
          <w:sz w:val="20"/>
          <w:szCs w:val="20"/>
        </w:rPr>
        <w:t>content and activities, including websites, mobile applications, video games, television and movie programming, e-commerce, and advertising.</w:t>
      </w:r>
    </w:p>
    <w:p w:rsidR="00000000" w:rsidRDefault="000242E9">
      <w:pPr>
        <w:jc w:val="both"/>
        <w:divId w:val="1439838687"/>
        <w:rPr>
          <w:rFonts w:eastAsia="Times New Roman"/>
        </w:rPr>
      </w:pPr>
    </w:p>
    <w:p w:rsidR="00000000" w:rsidRDefault="000242E9">
      <w:pPr>
        <w:jc w:val="center"/>
        <w:divId w:val="1449816964"/>
        <w:rPr>
          <w:rFonts w:eastAsia="Times New Roman"/>
        </w:rPr>
      </w:pPr>
      <w:r>
        <w:rPr>
          <w:rFonts w:eastAsia="Times New Roman"/>
          <w:color w:val="000000"/>
          <w:sz w:val="20"/>
          <w:szCs w:val="20"/>
        </w:rPr>
        <w:t>22</w:t>
      </w:r>
    </w:p>
    <w:p w:rsidR="00000000" w:rsidRDefault="000242E9">
      <w:pPr>
        <w:rPr>
          <w:rFonts w:eastAsia="Times New Roman"/>
        </w:rPr>
      </w:pPr>
      <w:r>
        <w:rPr>
          <w:rFonts w:eastAsia="Times New Roman"/>
        </w:rPr>
        <w:pict>
          <v:rect id="_x0000_i1049" style="width:0;height:1.5pt" o:hralign="center" o:hrstd="t" o:hr="t" fillcolor="#a0a0a0" stroked="f"/>
        </w:pict>
      </w:r>
    </w:p>
    <w:p w:rsidR="00000000" w:rsidRDefault="000242E9">
      <w:pPr>
        <w:jc w:val="both"/>
        <w:divId w:val="64912436"/>
        <w:rPr>
          <w:rFonts w:eastAsia="Times New Roman"/>
        </w:rPr>
      </w:pPr>
      <w:hyperlink w:anchor="if7a518a588154f7ab52f3429da641a28_7" w:history="1">
        <w:r>
          <w:rPr>
            <w:rStyle w:val="a3"/>
            <w:rFonts w:eastAsia="Times New Roman"/>
            <w:sz w:val="20"/>
            <w:szCs w:val="20"/>
          </w:rPr>
          <w:t>Table of Content</w:t>
        </w:r>
        <w:r>
          <w:rPr>
            <w:rStyle w:val="a3"/>
            <w:rFonts w:eastAsia="Times New Roman"/>
            <w:sz w:val="20"/>
            <w:szCs w:val="20"/>
          </w:rPr>
          <w:t>s</w:t>
        </w:r>
      </w:hyperlink>
    </w:p>
    <w:p w:rsidR="00000000" w:rsidRDefault="000242E9">
      <w:pPr>
        <w:jc w:val="both"/>
        <w:divId w:val="64912436"/>
        <w:rPr>
          <w:rFonts w:eastAsia="Times New Roman"/>
        </w:rPr>
      </w:pPr>
    </w:p>
    <w:p w:rsidR="00000000" w:rsidRDefault="000242E9">
      <w:pPr>
        <w:jc w:val="both"/>
        <w:divId w:val="280453907"/>
        <w:rPr>
          <w:rFonts w:eastAsia="Times New Roman"/>
        </w:rPr>
      </w:pPr>
      <w:r>
        <w:rPr>
          <w:rFonts w:eastAsia="Times New Roman"/>
          <w:b/>
          <w:bCs/>
          <w:color w:val="000000"/>
          <w:sz w:val="20"/>
          <w:szCs w:val="20"/>
        </w:rPr>
        <w:t>Results of Operations</w:t>
      </w:r>
    </w:p>
    <w:p w:rsidR="00000000" w:rsidRDefault="000242E9">
      <w:pPr>
        <w:jc w:val="both"/>
        <w:divId w:val="2005427883"/>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164"/>
        <w:gridCol w:w="38"/>
        <w:gridCol w:w="110"/>
        <w:gridCol w:w="615"/>
        <w:gridCol w:w="36"/>
        <w:gridCol w:w="36"/>
        <w:gridCol w:w="36"/>
        <w:gridCol w:w="36"/>
        <w:gridCol w:w="76"/>
        <w:gridCol w:w="544"/>
        <w:gridCol w:w="170"/>
        <w:gridCol w:w="36"/>
        <w:gridCol w:w="36"/>
        <w:gridCol w:w="36"/>
        <w:gridCol w:w="110"/>
        <w:gridCol w:w="615"/>
        <w:gridCol w:w="36"/>
        <w:gridCol w:w="36"/>
        <w:gridCol w:w="36"/>
        <w:gridCol w:w="36"/>
        <w:gridCol w:w="76"/>
        <w:gridCol w:w="544"/>
        <w:gridCol w:w="170"/>
        <w:gridCol w:w="36"/>
        <w:gridCol w:w="36"/>
        <w:gridCol w:w="36"/>
        <w:gridCol w:w="110"/>
        <w:gridCol w:w="630"/>
        <w:gridCol w:w="36"/>
        <w:gridCol w:w="36"/>
        <w:gridCol w:w="36"/>
        <w:gridCol w:w="36"/>
        <w:gridCol w:w="76"/>
        <w:gridCol w:w="544"/>
        <w:gridCol w:w="170"/>
        <w:gridCol w:w="36"/>
        <w:gridCol w:w="36"/>
        <w:gridCol w:w="36"/>
        <w:gridCol w:w="110"/>
        <w:gridCol w:w="705"/>
        <w:gridCol w:w="36"/>
        <w:gridCol w:w="36"/>
        <w:gridCol w:w="36"/>
        <w:gridCol w:w="36"/>
        <w:gridCol w:w="76"/>
        <w:gridCol w:w="544"/>
        <w:gridCol w:w="170"/>
      </w:tblGrid>
      <w:tr w:rsidR="00000000">
        <w:trPr>
          <w:divId w:val="1514225786"/>
          <w:jc w:val="center"/>
        </w:trPr>
        <w:tc>
          <w:tcPr>
            <w:tcW w:w="50" w:type="pct"/>
            <w:vAlign w:val="center"/>
            <w:hideMark/>
          </w:tcPr>
          <w:p w:rsidR="00000000" w:rsidRDefault="000242E9">
            <w:pPr>
              <w:jc w:val="both"/>
              <w:rPr>
                <w:rFonts w:eastAsia="Times New Roman"/>
              </w:rPr>
            </w:pPr>
          </w:p>
        </w:tc>
        <w:tc>
          <w:tcPr>
            <w:tcW w:w="14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36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514225786"/>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514225786"/>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514225786"/>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r>
      <w:tr w:rsidR="000242E9">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137,213 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152,791 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17,131 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20,421 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52,351 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68,590 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9,501 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29,402 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49,163 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12,136 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41,420 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50,541 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Investigation and audit related</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4,176 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6,970 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224,272 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intangible asset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Settlement of litigation, net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91,984 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104,059 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285,571 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598,041 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(304,559)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(9,027)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(8,175)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(26,729)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(23,176)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 income, net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4,191 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12,862 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6,621 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gain from foreign currency transactions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(2,012)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(2,152)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(35,544)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(320,346)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514225786"/>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Income tax (provision) benefit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242E9">
        <w:trPr>
          <w:divId w:val="1514225786"/>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(34,706)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(317,606)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330135751"/>
        <w:rPr>
          <w:rFonts w:eastAsia="Times New Roman"/>
        </w:rPr>
      </w:pPr>
      <w:r>
        <w:rPr>
          <w:rFonts w:eastAsia="Times New Roman"/>
          <w:b/>
          <w:bCs/>
          <w:i/>
          <w:iCs/>
          <w:color w:val="000000"/>
          <w:sz w:val="20"/>
          <w:szCs w:val="20"/>
        </w:rPr>
        <w:t>Revenues</w:t>
      </w:r>
    </w:p>
    <w:p w:rsidR="00000000" w:rsidRDefault="000242E9">
      <w:pPr>
        <w:jc w:val="both"/>
        <w:divId w:val="149251073"/>
        <w:rPr>
          <w:rFonts w:eastAsia="Times New Roman"/>
        </w:rPr>
      </w:pPr>
      <w:r>
        <w:rPr>
          <w:rFonts w:eastAsia="Times New Roman"/>
          <w:color w:val="000000"/>
          <w:sz w:val="20"/>
          <w:szCs w:val="20"/>
        </w:rPr>
        <w:t>Our products and services are organized around solution groups that address customer</w:t>
      </w:r>
      <w:r>
        <w:rPr>
          <w:rFonts w:eastAsia="Times New Roman"/>
          <w:color w:val="000000"/>
          <w:sz w:val="20"/>
          <w:szCs w:val="20"/>
        </w:rPr>
        <w:t xml:space="preserve"> needs. Accordingly, we evaluate revenue around three solution groups: </w:t>
      </w:r>
    </w:p>
    <w:p w:rsidR="00000000" w:rsidRDefault="000242E9">
      <w:pPr>
        <w:ind w:hanging="360"/>
        <w:jc w:val="both"/>
        <w:divId w:val="745106829"/>
        <w:rPr>
          <w:rFonts w:eastAsia="Times New Roman"/>
        </w:rPr>
      </w:pPr>
      <w:r>
        <w:rPr>
          <w:rFonts w:eastAsia="Times New Roman"/>
          <w:color w:val="000000"/>
          <w:sz w:val="20"/>
          <w:szCs w:val="20"/>
        </w:rPr>
        <w:t>•Ratings and Planning provides measurement of the behavior and characteristics of audiences of content and advertising across television and digital platforms including computers, tabl</w:t>
      </w:r>
      <w:r>
        <w:rPr>
          <w:rFonts w:eastAsia="Times New Roman"/>
          <w:color w:val="000000"/>
          <w:sz w:val="20"/>
          <w:szCs w:val="20"/>
        </w:rPr>
        <w:t>ets, smartphones, and other connected devices. These products and services are designed to help customers find the most relevant viewing audience, whether that viewing is linear, non-linear, online or on-demand.</w:t>
      </w:r>
    </w:p>
    <w:p w:rsidR="00000000" w:rsidRDefault="000242E9">
      <w:pPr>
        <w:ind w:hanging="360"/>
        <w:jc w:val="both"/>
        <w:divId w:val="1828089398"/>
        <w:rPr>
          <w:rFonts w:eastAsia="Times New Roman"/>
        </w:rPr>
      </w:pPr>
      <w:r>
        <w:rPr>
          <w:rFonts w:eastAsia="Times New Roman"/>
          <w:color w:val="000000"/>
          <w:sz w:val="20"/>
          <w:szCs w:val="20"/>
        </w:rPr>
        <w:t>•Analytics and Optimization includes activat</w:t>
      </w:r>
      <w:r>
        <w:rPr>
          <w:rFonts w:eastAsia="Times New Roman"/>
          <w:color w:val="000000"/>
          <w:sz w:val="20"/>
          <w:szCs w:val="20"/>
        </w:rPr>
        <w:t>ion and survey-based products that provide end-to-end solutions for planning, optimization and evaluation of advertising campaigns and brand protection.</w:t>
      </w:r>
    </w:p>
    <w:p w:rsidR="00000000" w:rsidRDefault="000242E9">
      <w:pPr>
        <w:ind w:hanging="360"/>
        <w:jc w:val="both"/>
        <w:divId w:val="973215198"/>
        <w:rPr>
          <w:rFonts w:eastAsia="Times New Roman"/>
        </w:rPr>
      </w:pPr>
      <w:r>
        <w:rPr>
          <w:rFonts w:eastAsia="Times New Roman"/>
          <w:color w:val="000000"/>
          <w:sz w:val="20"/>
          <w:szCs w:val="20"/>
        </w:rPr>
        <w:t>•Movies Reporting and Analytics measures movie viewership and box office results by capturing movie tic</w:t>
      </w:r>
      <w:r>
        <w:rPr>
          <w:rFonts w:eastAsia="Times New Roman"/>
          <w:color w:val="000000"/>
          <w:sz w:val="20"/>
          <w:szCs w:val="20"/>
        </w:rPr>
        <w:t>ket sales in real time or near real time and includes box office analytics, trend analysis and insights for movie studios and movie theater operators worldwide.</w:t>
      </w:r>
    </w:p>
    <w:p w:rsidR="00000000" w:rsidRDefault="000242E9">
      <w:pPr>
        <w:jc w:val="both"/>
        <w:divId w:val="112215108"/>
        <w:rPr>
          <w:rFonts w:eastAsia="Times New Roman"/>
        </w:rPr>
      </w:pPr>
      <w:r>
        <w:rPr>
          <w:rFonts w:eastAsia="Times New Roman"/>
          <w:color w:val="000000"/>
          <w:sz w:val="20"/>
          <w:szCs w:val="20"/>
        </w:rPr>
        <w:t>We categorize our revenue along these three offerings; however, our cost structure is tracked at the corporate level and not by our solution groups. These costs include, but are not limited to, employee costs, costs to acquire data, operational overhead, d</w:t>
      </w:r>
      <w:r>
        <w:rPr>
          <w:rFonts w:eastAsia="Times New Roman"/>
          <w:color w:val="000000"/>
          <w:sz w:val="20"/>
          <w:szCs w:val="20"/>
        </w:rPr>
        <w:t>ata centers, and our technology that supports multiple solution groups.</w:t>
      </w:r>
    </w:p>
    <w:p w:rsidR="00000000" w:rsidRDefault="000242E9">
      <w:pPr>
        <w:jc w:val="both"/>
        <w:divId w:val="34355647"/>
        <w:rPr>
          <w:rFonts w:eastAsia="Times New Roman"/>
        </w:rPr>
      </w:pPr>
      <w:r>
        <w:rPr>
          <w:rFonts w:eastAsia="Times New Roman"/>
          <w:color w:val="000000"/>
          <w:sz w:val="20"/>
          <w:szCs w:val="20"/>
        </w:rPr>
        <w:t>Revenues from these three solution groups for the three months ended September 30, 2020 and 2019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60"/>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trPr>
          <w:divId w:val="226065969"/>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26065969"/>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26065969"/>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Variance</w:t>
            </w:r>
          </w:p>
        </w:tc>
      </w:tr>
      <w:tr w:rsidR="00000000">
        <w:trPr>
          <w:divId w:val="226065969"/>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698197146"/>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26065969"/>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770468151"/>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17,432 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18,252 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26065969"/>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7,802 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(2,912)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26065969"/>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(6,348)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(6.7)</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1276794735"/>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we began classifying revenue from certain new and extended custom agreements for services that utilize our syndicated data set, previously classified under Analytics and Optimizatio</w:t>
      </w:r>
      <w:r>
        <w:rPr>
          <w:rFonts w:eastAsia="Times New Roman"/>
          <w:i/>
          <w:iCs/>
          <w:color w:val="000000"/>
          <w:sz w:val="16"/>
          <w:szCs w:val="16"/>
        </w:rPr>
        <w:t>n, as Ratings and Planning. The impact was not material to either solution group.</w:t>
      </w:r>
    </w:p>
    <w:p w:rsidR="00000000" w:rsidRDefault="000242E9">
      <w:pPr>
        <w:jc w:val="center"/>
        <w:divId w:val="1888908240"/>
        <w:rPr>
          <w:rFonts w:eastAsia="Times New Roman"/>
        </w:rPr>
      </w:pPr>
      <w:r>
        <w:rPr>
          <w:rFonts w:eastAsia="Times New Roman"/>
          <w:color w:val="000000"/>
          <w:sz w:val="20"/>
          <w:szCs w:val="20"/>
        </w:rPr>
        <w:t>23</w:t>
      </w:r>
    </w:p>
    <w:p w:rsidR="00000000" w:rsidRDefault="000242E9">
      <w:pPr>
        <w:rPr>
          <w:rFonts w:eastAsia="Times New Roman"/>
        </w:rPr>
      </w:pPr>
      <w:r>
        <w:rPr>
          <w:rFonts w:eastAsia="Times New Roman"/>
        </w:rPr>
        <w:pict>
          <v:rect id="_x0000_i1050" style="width:0;height:1.5pt" o:hralign="center" o:hrstd="t" o:hr="t" fillcolor="#a0a0a0" stroked="f"/>
        </w:pict>
      </w:r>
    </w:p>
    <w:p w:rsidR="00000000" w:rsidRDefault="000242E9">
      <w:pPr>
        <w:jc w:val="both"/>
        <w:divId w:val="135603485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356034851"/>
        <w:rPr>
          <w:rFonts w:eastAsia="Times New Roman"/>
        </w:rPr>
      </w:pPr>
    </w:p>
    <w:p w:rsidR="00000000" w:rsidRDefault="000242E9">
      <w:pPr>
        <w:jc w:val="both"/>
        <w:divId w:val="1011371441"/>
        <w:rPr>
          <w:rFonts w:eastAsia="Times New Roman"/>
        </w:rPr>
      </w:pPr>
      <w:r>
        <w:rPr>
          <w:rFonts w:eastAsia="Times New Roman"/>
          <w:color w:val="000000"/>
          <w:sz w:val="20"/>
          <w:szCs w:val="20"/>
        </w:rPr>
        <w:t xml:space="preserve">Revenues decreased by $6.3 million, or 6.7%, for the three months ended September 30, 2020 as compared to the three months ended September 30, 2019. </w:t>
      </w:r>
    </w:p>
    <w:p w:rsidR="00000000" w:rsidRDefault="000242E9">
      <w:pPr>
        <w:jc w:val="both"/>
        <w:divId w:val="471605886"/>
        <w:rPr>
          <w:rFonts w:eastAsia="Times New Roman"/>
        </w:rPr>
      </w:pPr>
      <w:r>
        <w:rPr>
          <w:rFonts w:eastAsia="Times New Roman"/>
          <w:color w:val="000000"/>
          <w:sz w:val="20"/>
          <w:szCs w:val="20"/>
        </w:rPr>
        <w:t>Ratings and Planning revenue is comprised of revenue from our digital, television and cross-platform produ</w:t>
      </w:r>
      <w:r>
        <w:rPr>
          <w:rFonts w:eastAsia="Times New Roman"/>
          <w:color w:val="000000"/>
          <w:sz w:val="20"/>
          <w:szCs w:val="20"/>
        </w:rPr>
        <w:t>cts. Ratings and Planning revenue decreased $2.6 million in the three months ended September 30, 2020 as compared to the three months ended September 30, 2019. The decrease was largely driven by lower revenue from our syndicated digital products due in par</w:t>
      </w:r>
      <w:r>
        <w:rPr>
          <w:rFonts w:eastAsia="Times New Roman"/>
          <w:color w:val="000000"/>
          <w:sz w:val="20"/>
          <w:szCs w:val="20"/>
        </w:rPr>
        <w:t>t to the COVID-19 pandemic. While retention of syndicated digital enterprise customers remained high, revenue from our syndicated digital products represented 48% and 51% of our Ratings and Planning revenue in the third quarter of 2020 and 2019, respective</w:t>
      </w:r>
      <w:r>
        <w:rPr>
          <w:rFonts w:eastAsia="Times New Roman"/>
          <w:color w:val="000000"/>
          <w:sz w:val="20"/>
          <w:szCs w:val="20"/>
        </w:rPr>
        <w:t>ly. TV revenues were higher due in part to our new partnership with LiveRamp, additional deliveries of national and addressable TV solutions, and increased deliveries on contracts with political customers.</w:t>
      </w:r>
    </w:p>
    <w:p w:rsidR="00000000" w:rsidRDefault="000242E9">
      <w:pPr>
        <w:jc w:val="both"/>
        <w:divId w:val="1574510292"/>
        <w:rPr>
          <w:rFonts w:eastAsia="Times New Roman"/>
        </w:rPr>
      </w:pPr>
      <w:r>
        <w:rPr>
          <w:rFonts w:eastAsia="Times New Roman"/>
          <w:color w:val="000000"/>
          <w:sz w:val="20"/>
          <w:szCs w:val="20"/>
        </w:rPr>
        <w:t>Analytics and Optimization revenue decreased by $0</w:t>
      </w:r>
      <w:r>
        <w:rPr>
          <w:rFonts w:eastAsia="Times New Roman"/>
          <w:color w:val="000000"/>
          <w:sz w:val="20"/>
          <w:szCs w:val="20"/>
        </w:rPr>
        <w:t>.8 million in the three months ended September 30, 2020 as compared to the three months ended September 30, 2019. The decrease was primarily due to fewer deliveries of custom solutions, lift and survey deliverables, due in part to the COVID-19 pandemic, of</w:t>
      </w:r>
      <w:r>
        <w:rPr>
          <w:rFonts w:eastAsia="Times New Roman"/>
          <w:color w:val="000000"/>
          <w:sz w:val="20"/>
          <w:szCs w:val="20"/>
        </w:rPr>
        <w:t>fset by higher activation usage and higher deliveries of branded content solutions during the third quarter of 2020.</w:t>
      </w:r>
    </w:p>
    <w:p w:rsidR="00000000" w:rsidRDefault="000242E9">
      <w:pPr>
        <w:jc w:val="both"/>
        <w:divId w:val="996110517"/>
        <w:rPr>
          <w:rFonts w:eastAsia="Times New Roman"/>
        </w:rPr>
      </w:pPr>
      <w:r>
        <w:rPr>
          <w:rFonts w:eastAsia="Times New Roman"/>
          <w:color w:val="000000"/>
          <w:sz w:val="20"/>
          <w:szCs w:val="20"/>
        </w:rPr>
        <w:t>Movies Reporting and Analytics revenue decreased by $2.9 million in the three months ended September 30, 2020 as compared to the three mont</w:t>
      </w:r>
      <w:r>
        <w:rPr>
          <w:rFonts w:eastAsia="Times New Roman"/>
          <w:color w:val="000000"/>
          <w:sz w:val="20"/>
          <w:szCs w:val="20"/>
        </w:rPr>
        <w:t>hs ended September 30, 2019. Revenue continues to be impacted by ongoing theater closures as a result of the COVID-19 pandemic. We expect theater closures to continue affecting movies revenue for the foreseeable future.</w:t>
      </w:r>
    </w:p>
    <w:p w:rsidR="00000000" w:rsidRDefault="000242E9">
      <w:pPr>
        <w:jc w:val="both"/>
        <w:divId w:val="1867060272"/>
        <w:rPr>
          <w:rFonts w:eastAsia="Times New Roman"/>
        </w:rPr>
      </w:pPr>
      <w:r>
        <w:rPr>
          <w:rFonts w:eastAsia="Times New Roman"/>
          <w:color w:val="000000"/>
          <w:sz w:val="20"/>
          <w:szCs w:val="20"/>
        </w:rPr>
        <w:t>Revenues for these three solution gr</w:t>
      </w:r>
      <w:r>
        <w:rPr>
          <w:rFonts w:eastAsia="Times New Roman"/>
          <w:color w:val="000000"/>
          <w:sz w:val="20"/>
          <w:szCs w:val="20"/>
        </w:rPr>
        <w:t>oups for the nine months ended September 30,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660"/>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700"/>
        <w:gridCol w:w="36"/>
        <w:gridCol w:w="36"/>
        <w:gridCol w:w="36"/>
        <w:gridCol w:w="36"/>
        <w:gridCol w:w="64"/>
        <w:gridCol w:w="599"/>
        <w:gridCol w:w="170"/>
      </w:tblGrid>
      <w:tr w:rsidR="00000000">
        <w:trPr>
          <w:divId w:val="1635134441"/>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635134441"/>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635134441"/>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Variance</w:t>
            </w:r>
          </w:p>
        </w:tc>
      </w:tr>
      <w:tr w:rsidR="00000000">
        <w:trPr>
          <w:divId w:val="1635134441"/>
        </w:trPr>
        <w:tc>
          <w:tcPr>
            <w:tcW w:w="0" w:type="auto"/>
            <w:gridSpan w:val="3"/>
            <w:shd w:val="clear" w:color="auto" w:fill="CCEEFF"/>
            <w:tcMar>
              <w:top w:w="30" w:type="dxa"/>
              <w:left w:w="20" w:type="dxa"/>
              <w:bottom w:w="30" w:type="dxa"/>
              <w:right w:w="20" w:type="dxa"/>
            </w:tcMar>
            <w:vAlign w:val="bottom"/>
            <w:hideMark/>
          </w:tcPr>
          <w:p w:rsidR="00000000" w:rsidRDefault="000242E9">
            <w:pPr>
              <w:divId w:val="185869964"/>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(14,815)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635134441"/>
        </w:trPr>
        <w:tc>
          <w:tcPr>
            <w:tcW w:w="0" w:type="auto"/>
            <w:gridSpan w:val="3"/>
            <w:shd w:val="clear" w:color="auto" w:fill="FFFFFF"/>
            <w:tcMar>
              <w:top w:w="30" w:type="dxa"/>
              <w:left w:w="20" w:type="dxa"/>
              <w:bottom w:w="30" w:type="dxa"/>
              <w:right w:w="20" w:type="dxa"/>
            </w:tcMar>
            <w:vAlign w:val="bottom"/>
            <w:hideMark/>
          </w:tcPr>
          <w:p w:rsidR="00000000" w:rsidRDefault="000242E9">
            <w:pPr>
              <w:divId w:val="1368023316"/>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49,827 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57,003 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(7,176)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635134441"/>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26,201 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31,646 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(5,445)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635134441"/>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266,046 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293,482 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(27,436)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367796861"/>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the second quarter of 2020, we began classifying revenue from certain new and extended custom agreements for services that utilize our syndicated data set, previously classified under Analytics and Optimization,</w:t>
      </w:r>
      <w:r>
        <w:rPr>
          <w:rFonts w:eastAsia="Times New Roman"/>
          <w:i/>
          <w:iCs/>
          <w:color w:val="000000"/>
          <w:sz w:val="16"/>
          <w:szCs w:val="16"/>
        </w:rPr>
        <w:t xml:space="preserve"> as Ratings and Planning. The impact was not material to either solution group.</w:t>
      </w:r>
    </w:p>
    <w:p w:rsidR="00000000" w:rsidRDefault="000242E9">
      <w:pPr>
        <w:jc w:val="both"/>
        <w:divId w:val="932469953"/>
        <w:rPr>
          <w:rFonts w:eastAsia="Times New Roman"/>
        </w:rPr>
      </w:pPr>
      <w:r>
        <w:rPr>
          <w:rFonts w:eastAsia="Times New Roman"/>
          <w:color w:val="000000"/>
          <w:sz w:val="20"/>
          <w:szCs w:val="20"/>
        </w:rPr>
        <w:t xml:space="preserve">Revenues decreased by $27.4 million, or 9.3%, for the nine months ended September 30, 2020 as compared to the nine months ended September 30, 2019. </w:t>
      </w:r>
    </w:p>
    <w:p w:rsidR="00000000" w:rsidRDefault="000242E9">
      <w:pPr>
        <w:jc w:val="both"/>
        <w:divId w:val="1756702568"/>
        <w:rPr>
          <w:rFonts w:eastAsia="Times New Roman"/>
        </w:rPr>
      </w:pPr>
      <w:r>
        <w:rPr>
          <w:rFonts w:eastAsia="Times New Roman"/>
          <w:color w:val="000000"/>
          <w:sz w:val="20"/>
          <w:szCs w:val="20"/>
        </w:rPr>
        <w:t>Ratings and Planning revenu</w:t>
      </w:r>
      <w:r>
        <w:rPr>
          <w:rFonts w:eastAsia="Times New Roman"/>
          <w:color w:val="000000"/>
          <w:sz w:val="20"/>
          <w:szCs w:val="20"/>
        </w:rPr>
        <w:t>e decreased by $14.8 million in the nine months ended September 30, 2020 as compared to the nine months ended September 30, 2019. The decrease was largely driven by lower revenue from our syndicated digital products due in part to the COVID-19 pandemic. Wh</w:t>
      </w:r>
      <w:r>
        <w:rPr>
          <w:rFonts w:eastAsia="Times New Roman"/>
          <w:color w:val="000000"/>
          <w:sz w:val="20"/>
          <w:szCs w:val="20"/>
        </w:rPr>
        <w:t>ile retention of syndicated digital enterprise customers remained high, revenue from our syndicated digital products represented 49% and 51% of our Ratings and Planning revenue for the nine months ended September 30, 2020 and 2019, respectively. TV revenue</w:t>
      </w:r>
      <w:r>
        <w:rPr>
          <w:rFonts w:eastAsia="Times New Roman"/>
          <w:color w:val="000000"/>
          <w:sz w:val="20"/>
          <w:szCs w:val="20"/>
        </w:rPr>
        <w:t>s were higher due to increases from our new partnership with LiveRamp, additional deliveries of national and addressable TV solutions, and the impact of new Local TV business entered into in 2019. Cross-platform revenues were lower due to fewer customer de</w:t>
      </w:r>
      <w:r>
        <w:rPr>
          <w:rFonts w:eastAsia="Times New Roman"/>
          <w:color w:val="000000"/>
          <w:sz w:val="20"/>
          <w:szCs w:val="20"/>
        </w:rPr>
        <w:t>liveries.</w:t>
      </w:r>
    </w:p>
    <w:p w:rsidR="00000000" w:rsidRDefault="000242E9">
      <w:pPr>
        <w:jc w:val="both"/>
        <w:divId w:val="1672947476"/>
        <w:rPr>
          <w:rFonts w:eastAsia="Times New Roman"/>
        </w:rPr>
      </w:pPr>
      <w:r>
        <w:rPr>
          <w:rFonts w:eastAsia="Times New Roman"/>
          <w:color w:val="000000"/>
          <w:sz w:val="20"/>
          <w:szCs w:val="20"/>
        </w:rPr>
        <w:t>Analytics and Optimization revenue decreased by $7.2 million in the nine months ended September 30, 2020 as compared to the nine months ended September 30, 2019, due to lower sales and deliveries across all products in this solution group, due in</w:t>
      </w:r>
      <w:r>
        <w:rPr>
          <w:rFonts w:eastAsia="Times New Roman"/>
          <w:color w:val="000000"/>
          <w:sz w:val="20"/>
          <w:szCs w:val="20"/>
        </w:rPr>
        <w:t xml:space="preserve"> part to the COVID-19 pandemic, in the first nine months of 2020.</w:t>
      </w:r>
    </w:p>
    <w:p w:rsidR="00000000" w:rsidRDefault="000242E9">
      <w:pPr>
        <w:jc w:val="both"/>
        <w:divId w:val="1310943660"/>
        <w:rPr>
          <w:rFonts w:eastAsia="Times New Roman"/>
        </w:rPr>
      </w:pPr>
      <w:r>
        <w:rPr>
          <w:rFonts w:eastAsia="Times New Roman"/>
          <w:color w:val="000000"/>
          <w:sz w:val="20"/>
          <w:szCs w:val="20"/>
        </w:rPr>
        <w:t xml:space="preserve">Movies Reporting and Analytics revenue decreased by $5.4 million in the nine months ended September 30, 2020 as compared to the nine months ended September 30, 2019. Revenue continues to be </w:t>
      </w:r>
      <w:r>
        <w:rPr>
          <w:rFonts w:eastAsia="Times New Roman"/>
          <w:color w:val="000000"/>
          <w:sz w:val="20"/>
          <w:szCs w:val="20"/>
        </w:rPr>
        <w:t>impacted by ongoing theater closures as a result of the COVID-19 pandemic. We expect theater closures to continue affecting movies revenue for the foreseeable future.</w:t>
      </w:r>
    </w:p>
    <w:p w:rsidR="00000000" w:rsidRDefault="000242E9">
      <w:pPr>
        <w:jc w:val="both"/>
        <w:divId w:val="84035635"/>
        <w:rPr>
          <w:rFonts w:eastAsia="Times New Roman"/>
        </w:rPr>
      </w:pPr>
      <w:r>
        <w:rPr>
          <w:rFonts w:eastAsia="Times New Roman"/>
          <w:b/>
          <w:bCs/>
          <w:i/>
          <w:iCs/>
          <w:color w:val="000000"/>
          <w:sz w:val="20"/>
          <w:szCs w:val="20"/>
        </w:rPr>
        <w:t>Cost of Revenues</w:t>
      </w:r>
    </w:p>
    <w:p w:rsidR="00000000" w:rsidRDefault="000242E9">
      <w:pPr>
        <w:jc w:val="both"/>
        <w:divId w:val="1598174992"/>
        <w:rPr>
          <w:rFonts w:eastAsia="Times New Roman"/>
        </w:rPr>
      </w:pPr>
      <w:r>
        <w:rPr>
          <w:rFonts w:eastAsia="Times New Roman"/>
          <w:color w:val="000000"/>
          <w:sz w:val="20"/>
          <w:szCs w:val="20"/>
        </w:rPr>
        <w:t>Cost of revenues consists primarily of expenses related to producing our</w:t>
      </w:r>
      <w:r>
        <w:rPr>
          <w:rFonts w:eastAsia="Times New Roman"/>
          <w:color w:val="000000"/>
          <w:sz w:val="20"/>
          <w:szCs w:val="20"/>
        </w:rPr>
        <w:t xml:space="preserve"> products, operating our network infrastructure, the recruitment, maintenance and support of our consumer panels and amortization of capitalized fulfillment costs. Expenses associated with these areas include employee costs including salaries, benefits, st</w:t>
      </w:r>
      <w:r>
        <w:rPr>
          <w:rFonts w:eastAsia="Times New Roman"/>
          <w:color w:val="000000"/>
          <w:sz w:val="20"/>
          <w:szCs w:val="20"/>
        </w:rPr>
        <w:t>ock-based compensation and other related personnel costs of network operations, survey operations, custom analytics and technical support, all of which are expensed as they are incurred. Cost of revenues also includes costs to obtain multichannel video pro</w:t>
      </w:r>
      <w:r>
        <w:rPr>
          <w:rFonts w:eastAsia="Times New Roman"/>
          <w:color w:val="000000"/>
          <w:sz w:val="20"/>
          <w:szCs w:val="20"/>
        </w:rPr>
        <w:t>gramming distributor ("MVPD") data sets and panel, census based and other data sets used in our products as well as operational costs associated with our data centers, including depreciation expense associated with computer equipment and internally develop</w:t>
      </w:r>
      <w:r>
        <w:rPr>
          <w:rFonts w:eastAsia="Times New Roman"/>
          <w:color w:val="000000"/>
          <w:sz w:val="20"/>
          <w:szCs w:val="20"/>
        </w:rPr>
        <w:t>ed software that supports our panels and systems. Additionally, cost of revenues includes allocated overhead, lease expense and other facilities-related costs.</w:t>
      </w:r>
    </w:p>
    <w:p w:rsidR="00000000" w:rsidRDefault="000242E9">
      <w:pPr>
        <w:jc w:val="center"/>
        <w:divId w:val="153763954"/>
        <w:rPr>
          <w:rFonts w:eastAsia="Times New Roman"/>
        </w:rPr>
      </w:pPr>
      <w:r>
        <w:rPr>
          <w:rFonts w:eastAsia="Times New Roman"/>
          <w:color w:val="000000"/>
          <w:sz w:val="20"/>
          <w:szCs w:val="20"/>
        </w:rPr>
        <w:t>24</w:t>
      </w:r>
    </w:p>
    <w:p w:rsidR="00000000" w:rsidRDefault="000242E9">
      <w:pPr>
        <w:rPr>
          <w:rFonts w:eastAsia="Times New Roman"/>
        </w:rPr>
      </w:pPr>
      <w:r>
        <w:rPr>
          <w:rFonts w:eastAsia="Times New Roman"/>
        </w:rPr>
        <w:pict>
          <v:rect id="_x0000_i1051" style="width:0;height:1.5pt" o:hralign="center" o:hrstd="t" o:hr="t" fillcolor="#a0a0a0" stroked="f"/>
        </w:pict>
      </w:r>
    </w:p>
    <w:p w:rsidR="00000000" w:rsidRDefault="000242E9">
      <w:pPr>
        <w:jc w:val="both"/>
        <w:divId w:val="267010162"/>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67010162"/>
        <w:rPr>
          <w:rFonts w:eastAsia="Times New Roman"/>
        </w:rPr>
      </w:pPr>
    </w:p>
    <w:p w:rsidR="00000000" w:rsidRDefault="000242E9">
      <w:pPr>
        <w:jc w:val="both"/>
        <w:divId w:val="2131392314"/>
        <w:rPr>
          <w:rFonts w:eastAsia="Times New Roman"/>
        </w:rPr>
      </w:pPr>
      <w:r>
        <w:rPr>
          <w:rFonts w:eastAsia="Times New Roman"/>
          <w:color w:val="000000"/>
          <w:sz w:val="20"/>
          <w:szCs w:val="20"/>
        </w:rPr>
        <w:t xml:space="preserve">Cost of revenues for the three months ended September 30, 2020 and 2019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8"/>
        <w:gridCol w:w="110"/>
        <w:gridCol w:w="683"/>
        <w:gridCol w:w="36"/>
        <w:gridCol w:w="36"/>
        <w:gridCol w:w="36"/>
        <w:gridCol w:w="36"/>
        <w:gridCol w:w="61"/>
        <w:gridCol w:w="614"/>
        <w:gridCol w:w="170"/>
        <w:gridCol w:w="36"/>
        <w:gridCol w:w="36"/>
        <w:gridCol w:w="36"/>
        <w:gridCol w:w="110"/>
        <w:gridCol w:w="683"/>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trPr>
          <w:divId w:val="2018575441"/>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018575441"/>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018575441"/>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018575441"/>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201857544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9,693 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(1,913)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6,152 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Panel costs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4,259 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3,919 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1,704 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1,740 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921 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(371)</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2018575441"/>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47,390 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427777008"/>
        <w:rPr>
          <w:rFonts w:eastAsia="Times New Roman"/>
        </w:rPr>
      </w:pPr>
      <w:r>
        <w:rPr>
          <w:rFonts w:eastAsia="Times New Roman"/>
          <w:color w:val="000000"/>
          <w:sz w:val="20"/>
          <w:szCs w:val="20"/>
        </w:rPr>
        <w:t>Cost of revenues decreased $0.9 million, or 1.9%, for the three months ended Sept</w:t>
      </w:r>
      <w:r>
        <w:rPr>
          <w:rFonts w:eastAsia="Times New Roman"/>
          <w:color w:val="000000"/>
          <w:sz w:val="20"/>
          <w:szCs w:val="20"/>
        </w:rPr>
        <w:t>ember 30, 2020 as compared to the three months ended September 30, 2019. Employee costs decreased $1.9 million primarily due to a reduction in headcount. Additionally, sample and survey costs decreased $0.7 million primarily due to lower sales and deliveri</w:t>
      </w:r>
      <w:r>
        <w:rPr>
          <w:rFonts w:eastAsia="Times New Roman"/>
          <w:color w:val="000000"/>
          <w:sz w:val="20"/>
          <w:szCs w:val="20"/>
        </w:rPr>
        <w:t>es of digital custom marketing solutions. These decreases were offset by increases in data costs and systems and bandwidth costs. Data costs increased by $1.6 million primarily due to new data licensing costs to increase our data footprint, offset by a rec</w:t>
      </w:r>
      <w:r>
        <w:rPr>
          <w:rFonts w:eastAsia="Times New Roman"/>
          <w:color w:val="000000"/>
          <w:sz w:val="20"/>
          <w:szCs w:val="20"/>
        </w:rPr>
        <w:t xml:space="preserve">lassification of costs to systems and bandwidth to better reflect the nature of the services provided. Systems and bandwidth costs increased $1.2 million primarily due to the reclassification of costs from data costs. </w:t>
      </w:r>
    </w:p>
    <w:p w:rsidR="00000000" w:rsidRDefault="000242E9">
      <w:pPr>
        <w:jc w:val="both"/>
        <w:divId w:val="554052561"/>
        <w:rPr>
          <w:rFonts w:eastAsia="Times New Roman"/>
        </w:rPr>
      </w:pPr>
      <w:r>
        <w:rPr>
          <w:rFonts w:eastAsia="Times New Roman"/>
          <w:color w:val="000000"/>
          <w:sz w:val="20"/>
          <w:szCs w:val="20"/>
        </w:rPr>
        <w:t xml:space="preserve">Cost of revenues for the nine months </w:t>
      </w:r>
      <w:r>
        <w:rPr>
          <w:rFonts w:eastAsia="Times New Roman"/>
          <w:color w:val="000000"/>
          <w:sz w:val="20"/>
          <w:szCs w:val="20"/>
        </w:rPr>
        <w:t>ended September 30,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8"/>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0"/>
        <w:gridCol w:w="684"/>
        <w:gridCol w:w="36"/>
        <w:gridCol w:w="36"/>
        <w:gridCol w:w="36"/>
        <w:gridCol w:w="36"/>
        <w:gridCol w:w="55"/>
        <w:gridCol w:w="624"/>
        <w:gridCol w:w="170"/>
      </w:tblGrid>
      <w:tr w:rsidR="00000000">
        <w:trPr>
          <w:divId w:val="1948341303"/>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48341303"/>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48341303"/>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48341303"/>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1948341303"/>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29,835 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40,708 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(10,873)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17,944 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15,767 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Panel costs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14,622 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15,555 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(933)</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Lease expense and depreciation</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12,393 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11,183 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1,210 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4,284 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4,422 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Sample and survey costs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3,728 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5,678 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5,956 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(2,807)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(47.1)</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1,919 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2,629 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2,779 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(1,109)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48341303"/>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137,213 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152,791 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(15,578)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(10.2)</w:t>
            </w:r>
          </w:p>
        </w:tc>
        <w:tc>
          <w:tcPr>
            <w:tcW w:w="0" w:type="auto"/>
            <w:shd w:val="clear" w:color="auto" w:fill="CCEE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1475681572"/>
        <w:rPr>
          <w:rFonts w:eastAsia="Times New Roman"/>
        </w:rPr>
      </w:pPr>
      <w:r>
        <w:rPr>
          <w:rFonts w:eastAsia="Times New Roman"/>
          <w:color w:val="000000"/>
          <w:sz w:val="20"/>
          <w:szCs w:val="20"/>
        </w:rPr>
        <w:t>Cost of revenues decreased $15.6 million, or 10.2%, for the nine months ended September 30, 2020 as compared to the nine months ended September 30, 2019. Employee costs decreased $10.9 million primarily due to a reduction in headco</w:t>
      </w:r>
      <w:r>
        <w:rPr>
          <w:rFonts w:eastAsia="Times New Roman"/>
          <w:color w:val="000000"/>
          <w:sz w:val="20"/>
          <w:szCs w:val="20"/>
        </w:rPr>
        <w:t>unt and a decrease in stock-based compensation expense. Professional fees decreased $2.8 million primarily due to a decrease in consulting services. Sample and survey costs decreased $2.0 million primarily due to lower sales and deliveries of digital custo</w:t>
      </w:r>
      <w:r>
        <w:rPr>
          <w:rFonts w:eastAsia="Times New Roman"/>
          <w:color w:val="000000"/>
          <w:sz w:val="20"/>
          <w:szCs w:val="20"/>
        </w:rPr>
        <w:t>m marketing solutions. Offsetting these decreases was an increase in systems and bandwidth costs of $2.2 million primarily due to the reclassification of costs from data costs to better reflect the nature of the services being provided. Lease expense and d</w:t>
      </w:r>
      <w:r>
        <w:rPr>
          <w:rFonts w:eastAsia="Times New Roman"/>
          <w:color w:val="000000"/>
          <w:sz w:val="20"/>
          <w:szCs w:val="20"/>
        </w:rPr>
        <w:t>epreciation increased $1.2 million primarily due to higher depreciation driven by previously capitalized internal-use software costs.</w:t>
      </w:r>
    </w:p>
    <w:p w:rsidR="00000000" w:rsidRDefault="000242E9">
      <w:pPr>
        <w:jc w:val="both"/>
        <w:divId w:val="164325085"/>
        <w:rPr>
          <w:rFonts w:eastAsia="Times New Roman"/>
        </w:rPr>
      </w:pPr>
      <w:r>
        <w:rPr>
          <w:rFonts w:eastAsia="Times New Roman"/>
          <w:b/>
          <w:bCs/>
          <w:i/>
          <w:iCs/>
          <w:color w:val="000000"/>
          <w:sz w:val="20"/>
          <w:szCs w:val="20"/>
        </w:rPr>
        <w:t>Selling and Marketing</w:t>
      </w:r>
    </w:p>
    <w:p w:rsidR="00000000" w:rsidRDefault="000242E9">
      <w:pPr>
        <w:jc w:val="both"/>
        <w:divId w:val="1342194944"/>
        <w:rPr>
          <w:rFonts w:eastAsia="Times New Roman"/>
        </w:rPr>
      </w:pPr>
      <w:r>
        <w:rPr>
          <w:rFonts w:eastAsia="Times New Roman"/>
          <w:color w:val="000000"/>
          <w:sz w:val="20"/>
          <w:szCs w:val="20"/>
        </w:rPr>
        <w:t>Selling and marketing expenses consist primarily of employee costs, including salaries, benefits, co</w:t>
      </w:r>
      <w:r>
        <w:rPr>
          <w:rFonts w:eastAsia="Times New Roman"/>
          <w:color w:val="000000"/>
          <w:sz w:val="20"/>
          <w:szCs w:val="20"/>
        </w:rPr>
        <w:t>mmissions, stock-based compensation and other related costs for personnel associated with sales and marketing activities. It also includes costs related to online and offline advertising, industry conferences, promotional materials, public relations, other</w:t>
      </w:r>
      <w:r>
        <w:rPr>
          <w:rFonts w:eastAsia="Times New Roman"/>
          <w:color w:val="000000"/>
          <w:sz w:val="20"/>
          <w:szCs w:val="20"/>
        </w:rPr>
        <w:t xml:space="preserve"> sales and marketing programs and allocated overhead, which is comprised of lease expense and other facilities-related costs, and depreciation expense generated by general purpose equipment and software.</w:t>
      </w:r>
    </w:p>
    <w:p w:rsidR="00000000" w:rsidRDefault="000242E9">
      <w:pPr>
        <w:jc w:val="center"/>
        <w:divId w:val="859858056"/>
        <w:rPr>
          <w:rFonts w:eastAsia="Times New Roman"/>
        </w:rPr>
      </w:pPr>
      <w:r>
        <w:rPr>
          <w:rFonts w:eastAsia="Times New Roman"/>
          <w:color w:val="000000"/>
          <w:sz w:val="20"/>
          <w:szCs w:val="20"/>
        </w:rPr>
        <w:t>25</w:t>
      </w:r>
    </w:p>
    <w:p w:rsidR="00000000" w:rsidRDefault="000242E9">
      <w:pPr>
        <w:rPr>
          <w:rFonts w:eastAsia="Times New Roman"/>
        </w:rPr>
      </w:pPr>
      <w:r>
        <w:rPr>
          <w:rFonts w:eastAsia="Times New Roman"/>
        </w:rPr>
        <w:pict>
          <v:rect id="_x0000_i1052" style="width:0;height:1.5pt" o:hralign="center" o:hrstd="t" o:hr="t" fillcolor="#a0a0a0" stroked="f"/>
        </w:pict>
      </w:r>
    </w:p>
    <w:p w:rsidR="00000000" w:rsidRDefault="000242E9">
      <w:pPr>
        <w:jc w:val="both"/>
        <w:divId w:val="1835140437"/>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835140437"/>
        <w:rPr>
          <w:rFonts w:eastAsia="Times New Roman"/>
        </w:rPr>
      </w:pPr>
    </w:p>
    <w:p w:rsidR="00000000" w:rsidRDefault="000242E9">
      <w:pPr>
        <w:jc w:val="both"/>
        <w:divId w:val="565258539"/>
        <w:rPr>
          <w:rFonts w:eastAsia="Times New Roman"/>
        </w:rPr>
      </w:pPr>
      <w:r>
        <w:rPr>
          <w:rFonts w:eastAsia="Times New Roman"/>
          <w:color w:val="000000"/>
          <w:sz w:val="20"/>
          <w:szCs w:val="20"/>
        </w:rPr>
        <w:t>Selling and marketing expenses for the three months ended September 30,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trPr>
          <w:divId w:val="1159269116"/>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159269116"/>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159269116"/>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159269116"/>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1159269116"/>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159269116"/>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1,136 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159269116"/>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159269116"/>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Travel</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(836)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(96.0)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159269116"/>
        </w:trPr>
        <w:tc>
          <w:tcPr>
            <w:tcW w:w="0" w:type="auto"/>
            <w:gridSpan w:val="3"/>
            <w:vAlign w:val="center"/>
            <w:hideMark/>
          </w:tcPr>
          <w:p w:rsidR="00000000" w:rsidRDefault="000242E9">
            <w:pPr>
              <w:jc w:val="right"/>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159269116"/>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(36.7)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159269116"/>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17,131 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20,421 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(16.1)</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1900362255"/>
        <w:rPr>
          <w:rFonts w:eastAsia="Times New Roman"/>
        </w:rPr>
      </w:pPr>
      <w:r>
        <w:rPr>
          <w:rFonts w:eastAsia="Times New Roman"/>
          <w:color w:val="000000"/>
          <w:sz w:val="20"/>
          <w:szCs w:val="20"/>
        </w:rPr>
        <w:t>Selling and marketing expenses decrea</w:t>
      </w:r>
      <w:r>
        <w:rPr>
          <w:rFonts w:eastAsia="Times New Roman"/>
          <w:color w:val="000000"/>
          <w:sz w:val="20"/>
          <w:szCs w:val="20"/>
        </w:rPr>
        <w:t>sed by $3.3 million, or 16.1%, for the three months ended September 30, 2020 as compared to the three months ended September 30, 2019, largely attributable to a decrease in employee costs as a result of lower headcount and lower travel costs resulting from</w:t>
      </w:r>
      <w:r>
        <w:rPr>
          <w:rFonts w:eastAsia="Times New Roman"/>
          <w:color w:val="000000"/>
          <w:sz w:val="20"/>
          <w:szCs w:val="20"/>
        </w:rPr>
        <w:t xml:space="preserve"> the COVID-19 pandemic.</w:t>
      </w:r>
    </w:p>
    <w:p w:rsidR="00000000" w:rsidRDefault="000242E9">
      <w:pPr>
        <w:jc w:val="both"/>
        <w:divId w:val="2072339520"/>
        <w:rPr>
          <w:rFonts w:eastAsia="Times New Roman"/>
        </w:rPr>
      </w:pPr>
      <w:r>
        <w:rPr>
          <w:rFonts w:eastAsia="Times New Roman"/>
          <w:color w:val="000000"/>
          <w:sz w:val="20"/>
          <w:szCs w:val="20"/>
        </w:rPr>
        <w:t>Selling and marketing expenses for the nine months ended September 30,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5"/>
        <w:gridCol w:w="170"/>
        <w:gridCol w:w="36"/>
        <w:gridCol w:w="36"/>
        <w:gridCol w:w="36"/>
        <w:gridCol w:w="110"/>
        <w:gridCol w:w="684"/>
        <w:gridCol w:w="36"/>
        <w:gridCol w:w="36"/>
        <w:gridCol w:w="36"/>
        <w:gridCol w:w="36"/>
        <w:gridCol w:w="61"/>
        <w:gridCol w:w="616"/>
        <w:gridCol w:w="170"/>
        <w:gridCol w:w="36"/>
        <w:gridCol w:w="36"/>
        <w:gridCol w:w="36"/>
        <w:gridCol w:w="110"/>
        <w:gridCol w:w="684"/>
        <w:gridCol w:w="36"/>
        <w:gridCol w:w="36"/>
        <w:gridCol w:w="36"/>
        <w:gridCol w:w="36"/>
        <w:gridCol w:w="55"/>
        <w:gridCol w:w="624"/>
        <w:gridCol w:w="170"/>
      </w:tblGrid>
      <w:tr w:rsidR="00000000">
        <w:trPr>
          <w:divId w:val="1932540591"/>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32540591"/>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32540591"/>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32540591"/>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193254059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3254059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4,286 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(11.2)</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3254059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1,999 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2,111 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32540591"/>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Travel</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2,575 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(1,918)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(74.5)</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32540591"/>
        </w:trPr>
        <w:tc>
          <w:tcPr>
            <w:tcW w:w="0" w:type="auto"/>
            <w:gridSpan w:val="3"/>
            <w:vAlign w:val="center"/>
            <w:hideMark/>
          </w:tcPr>
          <w:p w:rsidR="00000000" w:rsidRDefault="000242E9">
            <w:pPr>
              <w:jc w:val="right"/>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32540591"/>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3,127 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4,337 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(1,210)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32540591"/>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52,351 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68,590 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(16,239)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1492213577"/>
        <w:rPr>
          <w:rFonts w:eastAsia="Times New Roman"/>
        </w:rPr>
      </w:pPr>
      <w:r>
        <w:rPr>
          <w:rFonts w:eastAsia="Times New Roman"/>
          <w:color w:val="000000"/>
          <w:sz w:val="20"/>
          <w:szCs w:val="20"/>
        </w:rPr>
        <w:t>Selling and marketing expenses decrea</w:t>
      </w:r>
      <w:r>
        <w:rPr>
          <w:rFonts w:eastAsia="Times New Roman"/>
          <w:color w:val="000000"/>
          <w:sz w:val="20"/>
          <w:szCs w:val="20"/>
        </w:rPr>
        <w:t>sed by $16.2 million, or 23.7%, for the nine months ended September 30, 2020 as compared to the nine months ended September 30, 2019. Employee costs decreased $12.5 million primarily as a result of lower headcount, a decrease in sales commissions, and a de</w:t>
      </w:r>
      <w:r>
        <w:rPr>
          <w:rFonts w:eastAsia="Times New Roman"/>
          <w:color w:val="000000"/>
          <w:sz w:val="20"/>
          <w:szCs w:val="20"/>
        </w:rPr>
        <w:t>crease in stock-based compensation expense. Travel costs decreased $1.9 million primarily due to the reduction in travel resulting from the COVID-19 pandemic.</w:t>
      </w:r>
    </w:p>
    <w:p w:rsidR="00000000" w:rsidRDefault="000242E9">
      <w:pPr>
        <w:jc w:val="both"/>
        <w:divId w:val="356472290"/>
        <w:rPr>
          <w:rFonts w:eastAsia="Times New Roman"/>
        </w:rPr>
      </w:pPr>
      <w:r>
        <w:rPr>
          <w:rFonts w:eastAsia="Times New Roman"/>
          <w:b/>
          <w:bCs/>
          <w:i/>
          <w:iCs/>
          <w:color w:val="000000"/>
          <w:sz w:val="20"/>
          <w:szCs w:val="20"/>
        </w:rPr>
        <w:t>Research and Development</w:t>
      </w:r>
    </w:p>
    <w:p w:rsidR="00000000" w:rsidRDefault="000242E9">
      <w:pPr>
        <w:jc w:val="both"/>
        <w:divId w:val="1702123584"/>
        <w:rPr>
          <w:rFonts w:eastAsia="Times New Roman"/>
        </w:rPr>
      </w:pPr>
      <w:r>
        <w:rPr>
          <w:rFonts w:eastAsia="Times New Roman"/>
          <w:color w:val="000000"/>
          <w:sz w:val="20"/>
          <w:szCs w:val="20"/>
        </w:rPr>
        <w:t>Research and development expenses include product development costs, con</w:t>
      </w:r>
      <w:r>
        <w:rPr>
          <w:rFonts w:eastAsia="Times New Roman"/>
          <w:color w:val="000000"/>
          <w:sz w:val="20"/>
          <w:szCs w:val="20"/>
        </w:rPr>
        <w:t>sisting primarily of employee costs including salaries, benefits, stock-based compensation and other related costs for personnel associated with research and development activities, third-party expenses to develop new products and third-party data costs an</w:t>
      </w:r>
      <w:r>
        <w:rPr>
          <w:rFonts w:eastAsia="Times New Roman"/>
          <w:color w:val="000000"/>
          <w:sz w:val="20"/>
          <w:szCs w:val="20"/>
        </w:rPr>
        <w:t>d allocated overhead, which is comprised of lease expense and other facilities-related costs, and depreciation expense related to general purpose equipment and software.</w:t>
      </w:r>
    </w:p>
    <w:p w:rsidR="00000000" w:rsidRDefault="000242E9">
      <w:pPr>
        <w:jc w:val="both"/>
        <w:divId w:val="977490771"/>
        <w:rPr>
          <w:rFonts w:eastAsia="Times New Roman"/>
        </w:rPr>
      </w:pPr>
      <w:r>
        <w:rPr>
          <w:rFonts w:eastAsia="Times New Roman"/>
          <w:color w:val="000000"/>
          <w:sz w:val="20"/>
          <w:szCs w:val="20"/>
        </w:rPr>
        <w:t>Research and development expenses for the three months ended September 30, 2020 and 20</w:t>
      </w:r>
      <w:r>
        <w:rPr>
          <w:rFonts w:eastAsia="Times New Roman"/>
          <w:color w:val="000000"/>
          <w:sz w:val="20"/>
          <w:szCs w:val="20"/>
        </w:rPr>
        <w:t>19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trPr>
          <w:divId w:val="348678302"/>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348678302"/>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348678302"/>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34867830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348678302"/>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348678302"/>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1,076 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997 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348678302"/>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894 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1,483 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348678302"/>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442 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(189)</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(42.8)</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348678302"/>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348678302"/>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(32.4)</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381755843"/>
        <w:rPr>
          <w:rFonts w:eastAsia="Times New Roman"/>
        </w:rPr>
      </w:pPr>
      <w:r>
        <w:rPr>
          <w:rFonts w:eastAsia="Times New Roman"/>
          <w:color w:val="000000"/>
          <w:sz w:val="20"/>
          <w:szCs w:val="20"/>
        </w:rPr>
        <w:t>Research and development expenses decreased by $4.6 million, or 32.4%, for the three months ended September 30, 2020 as compared to the three months ended September 30, 2019. Employee costs decreased $3.9 million primarily due to lower headcount.</w:t>
      </w:r>
    </w:p>
    <w:p w:rsidR="00000000" w:rsidRDefault="000242E9">
      <w:pPr>
        <w:jc w:val="both"/>
        <w:divId w:val="999843513"/>
        <w:rPr>
          <w:rFonts w:eastAsia="Times New Roman"/>
        </w:rPr>
      </w:pPr>
      <w:r>
        <w:rPr>
          <w:rFonts w:eastAsia="Times New Roman"/>
          <w:color w:val="000000"/>
          <w:sz w:val="20"/>
          <w:szCs w:val="20"/>
        </w:rPr>
        <w:t>Resea</w:t>
      </w:r>
      <w:r>
        <w:rPr>
          <w:rFonts w:eastAsia="Times New Roman"/>
          <w:color w:val="000000"/>
          <w:sz w:val="20"/>
          <w:szCs w:val="20"/>
        </w:rPr>
        <w:t>rch and development expenses for the nine months ended September 30, 2020 and 2019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5"/>
        <w:gridCol w:w="170"/>
        <w:gridCol w:w="36"/>
        <w:gridCol w:w="36"/>
        <w:gridCol w:w="36"/>
        <w:gridCol w:w="110"/>
        <w:gridCol w:w="684"/>
        <w:gridCol w:w="36"/>
        <w:gridCol w:w="36"/>
        <w:gridCol w:w="36"/>
        <w:gridCol w:w="36"/>
        <w:gridCol w:w="61"/>
        <w:gridCol w:w="616"/>
        <w:gridCol w:w="170"/>
        <w:gridCol w:w="36"/>
        <w:gridCol w:w="36"/>
        <w:gridCol w:w="36"/>
        <w:gridCol w:w="110"/>
        <w:gridCol w:w="684"/>
        <w:gridCol w:w="36"/>
        <w:gridCol w:w="36"/>
        <w:gridCol w:w="36"/>
        <w:gridCol w:w="36"/>
        <w:gridCol w:w="55"/>
        <w:gridCol w:w="624"/>
        <w:gridCol w:w="170"/>
      </w:tblGrid>
      <w:tr w:rsidR="00000000">
        <w:trPr>
          <w:divId w:val="664626180"/>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66462618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66462618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66462618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66462618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37,868 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(16,082)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66462618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3,225 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3,116 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66462618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3,120 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4,549 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66462618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874 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(1,777)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66462618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66462618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29,402 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(40.2)</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341863565"/>
        <w:rPr>
          <w:rFonts w:eastAsia="Times New Roman"/>
        </w:rPr>
      </w:pPr>
      <w:r>
        <w:rPr>
          <w:rFonts w:eastAsia="Times New Roman"/>
          <w:color w:val="000000"/>
          <w:sz w:val="20"/>
          <w:szCs w:val="20"/>
        </w:rPr>
        <w:t>Research and development expenses</w:t>
      </w:r>
      <w:r>
        <w:rPr>
          <w:rFonts w:eastAsia="Times New Roman"/>
          <w:color w:val="000000"/>
          <w:sz w:val="20"/>
          <w:szCs w:val="20"/>
        </w:rPr>
        <w:t xml:space="preserve"> decreased by $19.8 million, or 40.2%, for the nine months ended September 30, 2020 as compared to the nine months ended September 30, 2019. Employee costs decreased $16.1 million primarily due to lower headcount </w:t>
      </w:r>
    </w:p>
    <w:p w:rsidR="00000000" w:rsidRDefault="000242E9">
      <w:pPr>
        <w:jc w:val="center"/>
        <w:divId w:val="2111316690"/>
        <w:rPr>
          <w:rFonts w:eastAsia="Times New Roman"/>
        </w:rPr>
      </w:pPr>
      <w:r>
        <w:rPr>
          <w:rFonts w:eastAsia="Times New Roman"/>
          <w:color w:val="000000"/>
          <w:sz w:val="20"/>
          <w:szCs w:val="20"/>
        </w:rPr>
        <w:t>26</w:t>
      </w:r>
    </w:p>
    <w:p w:rsidR="00000000" w:rsidRDefault="000242E9">
      <w:pPr>
        <w:rPr>
          <w:rFonts w:eastAsia="Times New Roman"/>
        </w:rPr>
      </w:pPr>
      <w:r>
        <w:rPr>
          <w:rFonts w:eastAsia="Times New Roman"/>
        </w:rPr>
        <w:pict>
          <v:rect id="_x0000_i1053" style="width:0;height:1.5pt" o:hralign="center" o:hrstd="t" o:hr="t" fillcolor="#a0a0a0" stroked="f"/>
        </w:pict>
      </w:r>
    </w:p>
    <w:p w:rsidR="00000000" w:rsidRDefault="000242E9">
      <w:pPr>
        <w:jc w:val="both"/>
        <w:divId w:val="300112959"/>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300112959"/>
        <w:rPr>
          <w:rFonts w:eastAsia="Times New Roman"/>
        </w:rPr>
      </w:pPr>
    </w:p>
    <w:p w:rsidR="00000000" w:rsidRDefault="000242E9">
      <w:pPr>
        <w:jc w:val="both"/>
        <w:divId w:val="19205304"/>
        <w:rPr>
          <w:rFonts w:eastAsia="Times New Roman"/>
        </w:rPr>
      </w:pPr>
      <w:r>
        <w:rPr>
          <w:rFonts w:eastAsia="Times New Roman"/>
          <w:color w:val="000000"/>
          <w:sz w:val="20"/>
          <w:szCs w:val="20"/>
        </w:rPr>
        <w:t>and a decrease in stock-based compensation expense. Professional fees decreased $1.8 million primarily due to a decrease in consulting services. Lease expense and depreciation decr</w:t>
      </w:r>
      <w:r>
        <w:rPr>
          <w:rFonts w:eastAsia="Times New Roman"/>
          <w:color w:val="000000"/>
          <w:sz w:val="20"/>
          <w:szCs w:val="20"/>
        </w:rPr>
        <w:t>eased $1.4 million primarily as a result of various lease terminations and executed sublease agreements.</w:t>
      </w:r>
    </w:p>
    <w:p w:rsidR="00000000" w:rsidRDefault="000242E9">
      <w:pPr>
        <w:jc w:val="both"/>
        <w:divId w:val="22366944"/>
        <w:rPr>
          <w:rFonts w:eastAsia="Times New Roman"/>
        </w:rPr>
      </w:pPr>
      <w:r>
        <w:rPr>
          <w:rFonts w:eastAsia="Times New Roman"/>
          <w:b/>
          <w:bCs/>
          <w:i/>
          <w:iCs/>
          <w:color w:val="000000"/>
          <w:sz w:val="20"/>
          <w:szCs w:val="20"/>
        </w:rPr>
        <w:t>General and Administrative</w:t>
      </w:r>
    </w:p>
    <w:p w:rsidR="00000000" w:rsidRDefault="000242E9">
      <w:pPr>
        <w:jc w:val="both"/>
        <w:divId w:val="597368280"/>
        <w:rPr>
          <w:rFonts w:eastAsia="Times New Roman"/>
        </w:rPr>
      </w:pPr>
      <w:r>
        <w:rPr>
          <w:rFonts w:eastAsia="Times New Roman"/>
          <w:color w:val="000000"/>
          <w:sz w:val="20"/>
          <w:szCs w:val="20"/>
        </w:rPr>
        <w:t>General and administrative expenses consist primarily of employee costs including salaries, benefits, stock-based compensati</w:t>
      </w:r>
      <w:r>
        <w:rPr>
          <w:rFonts w:eastAsia="Times New Roman"/>
          <w:color w:val="000000"/>
          <w:sz w:val="20"/>
          <w:szCs w:val="20"/>
        </w:rPr>
        <w:t>on and other related costs, and related expenses for executive management, finance, human capital, legal and other administrative functions, as well as professional fees, overhead, including allocated overhead, which is comprised of lease expense and other</w:t>
      </w:r>
      <w:r>
        <w:rPr>
          <w:rFonts w:eastAsia="Times New Roman"/>
          <w:color w:val="000000"/>
          <w:sz w:val="20"/>
          <w:szCs w:val="20"/>
        </w:rPr>
        <w:t xml:space="preserve"> facilities-related costs, depreciation expense related to general purpose equipment and software, and expenses incurred for other general corporate purposes.</w:t>
      </w:r>
    </w:p>
    <w:p w:rsidR="00000000" w:rsidRDefault="000242E9">
      <w:pPr>
        <w:jc w:val="both"/>
        <w:divId w:val="2084834080"/>
        <w:rPr>
          <w:rFonts w:eastAsia="Times New Roman"/>
        </w:rPr>
      </w:pPr>
      <w:r>
        <w:rPr>
          <w:rFonts w:eastAsia="Times New Roman"/>
          <w:color w:val="000000"/>
          <w:sz w:val="20"/>
          <w:szCs w:val="20"/>
        </w:rPr>
        <w:t>General and administrative expenses for the three months ended September 30, 2020 and 2019 were a</w:t>
      </w:r>
      <w:r>
        <w:rPr>
          <w:rFonts w:eastAsia="Times New Roman"/>
          <w:color w:val="000000"/>
          <w:sz w:val="20"/>
          <w:szCs w:val="20"/>
        </w:rPr>
        <w:t>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trPr>
          <w:divId w:val="1997950961"/>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97950961"/>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997950961"/>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997950961"/>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1997950961"/>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2,339 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4,059 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(1,720)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567 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360 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494 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Bad debt expense</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(583)</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(88.7)</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2,003 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841 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72.4 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1997950961"/>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12,136 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55710438"/>
        <w:rPr>
          <w:rFonts w:eastAsia="Times New Roman"/>
        </w:rPr>
      </w:pPr>
      <w:r>
        <w:rPr>
          <w:rFonts w:eastAsia="Times New Roman"/>
          <w:color w:val="000000"/>
          <w:sz w:val="20"/>
          <w:szCs w:val="20"/>
        </w:rPr>
        <w:t>General and administrative e</w:t>
      </w:r>
      <w:r>
        <w:rPr>
          <w:rFonts w:eastAsia="Times New Roman"/>
          <w:color w:val="000000"/>
          <w:sz w:val="20"/>
          <w:szCs w:val="20"/>
        </w:rPr>
        <w:t>xpenses decreased by $1.9 million, or 13.7%, for the three months ended September 30, 2020 as compared to the three months ended September 30, 2019 primarily due to a decrease in professional fees of $1.7 million. The reduction was due to reduced audit and</w:t>
      </w:r>
      <w:r>
        <w:rPr>
          <w:rFonts w:eastAsia="Times New Roman"/>
          <w:color w:val="000000"/>
          <w:sz w:val="20"/>
          <w:szCs w:val="20"/>
        </w:rPr>
        <w:t xml:space="preserve"> legal fees in 2020 as compared to 2019.</w:t>
      </w:r>
    </w:p>
    <w:p w:rsidR="00000000" w:rsidRDefault="000242E9">
      <w:pPr>
        <w:jc w:val="both"/>
        <w:divId w:val="49966109"/>
        <w:rPr>
          <w:rFonts w:eastAsia="Times New Roman"/>
        </w:rPr>
      </w:pPr>
      <w:r>
        <w:rPr>
          <w:rFonts w:eastAsia="Times New Roman"/>
          <w:color w:val="000000"/>
          <w:sz w:val="20"/>
          <w:szCs w:val="20"/>
        </w:rPr>
        <w:t>General and administrative expenses for the nine months ended September 30, 2020 and 2019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59"/>
        <w:gridCol w:w="37"/>
        <w:gridCol w:w="110"/>
        <w:gridCol w:w="683"/>
        <w:gridCol w:w="36"/>
        <w:gridCol w:w="36"/>
        <w:gridCol w:w="36"/>
        <w:gridCol w:w="36"/>
        <w:gridCol w:w="61"/>
        <w:gridCol w:w="614"/>
        <w:gridCol w:w="170"/>
        <w:gridCol w:w="36"/>
        <w:gridCol w:w="36"/>
        <w:gridCol w:w="36"/>
        <w:gridCol w:w="110"/>
        <w:gridCol w:w="684"/>
        <w:gridCol w:w="36"/>
        <w:gridCol w:w="36"/>
        <w:gridCol w:w="36"/>
        <w:gridCol w:w="36"/>
        <w:gridCol w:w="61"/>
        <w:gridCol w:w="616"/>
        <w:gridCol w:w="170"/>
        <w:gridCol w:w="36"/>
        <w:gridCol w:w="36"/>
        <w:gridCol w:w="36"/>
        <w:gridCol w:w="111"/>
        <w:gridCol w:w="684"/>
        <w:gridCol w:w="36"/>
        <w:gridCol w:w="36"/>
        <w:gridCol w:w="36"/>
        <w:gridCol w:w="36"/>
        <w:gridCol w:w="55"/>
        <w:gridCol w:w="624"/>
        <w:gridCol w:w="170"/>
      </w:tblGrid>
      <w:tr w:rsidR="00000000">
        <w:trPr>
          <w:divId w:val="936399613"/>
          <w:jc w:val="center"/>
        </w:trPr>
        <w:tc>
          <w:tcPr>
            <w:tcW w:w="50" w:type="pct"/>
            <w:vAlign w:val="center"/>
            <w:hideMark/>
          </w:tcPr>
          <w:p w:rsidR="00000000" w:rsidRDefault="000242E9">
            <w:pPr>
              <w:jc w:val="both"/>
              <w:rPr>
                <w:rFonts w:eastAsia="Times New Roman"/>
              </w:rPr>
            </w:pPr>
          </w:p>
        </w:tc>
        <w:tc>
          <w:tcPr>
            <w:tcW w:w="168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936399613"/>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936399613"/>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93639961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Change</w:t>
            </w:r>
          </w:p>
        </w:tc>
      </w:tr>
      <w:tr w:rsidR="00000000">
        <w:trPr>
          <w:divId w:val="936399613"/>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9,704 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13,618 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(3,914)</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1,683 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118.0 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Bad debt expense</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1,664 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153.3 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1,902 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Transition services agreement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(667)</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5,881 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r>
      <w:tr w:rsidR="00000000">
        <w:trPr>
          <w:divId w:val="93639961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50,541 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0242E9">
            <w:pPr>
              <w:jc w:val="right"/>
              <w:rPr>
                <w:rFonts w:eastAsia="Times New Roman"/>
              </w:rPr>
            </w:pPr>
            <w:r>
              <w:rPr>
                <w:rFonts w:eastAsia="Times New Roman"/>
                <w:color w:val="000000"/>
                <w:sz w:val="18"/>
                <w:szCs w:val="18"/>
              </w:rPr>
              <w:t>(18.0)</w:t>
            </w:r>
          </w:p>
        </w:tc>
        <w:tc>
          <w:tcPr>
            <w:tcW w:w="0" w:type="auto"/>
            <w:shd w:val="clear" w:color="auto" w:fill="FFFFFF"/>
            <w:tcMar>
              <w:top w:w="30" w:type="dxa"/>
              <w:left w:w="0" w:type="dxa"/>
              <w:bottom w:w="30" w:type="dxa"/>
              <w:right w:w="20" w:type="dxa"/>
            </w:tcMar>
            <w:hideMark/>
          </w:tcPr>
          <w:p w:rsidR="00000000" w:rsidRDefault="000242E9">
            <w:pPr>
              <w:jc w:val="right"/>
              <w:rPr>
                <w:rFonts w:eastAsia="Times New Roman"/>
              </w:rPr>
            </w:pPr>
            <w:r>
              <w:rPr>
                <w:rFonts w:eastAsia="Times New Roman"/>
                <w:color w:val="000000"/>
                <w:sz w:val="18"/>
                <w:szCs w:val="18"/>
              </w:rPr>
              <w:t>%</w:t>
            </w:r>
          </w:p>
        </w:tc>
      </w:tr>
    </w:tbl>
    <w:p w:rsidR="00000000" w:rsidRDefault="000242E9">
      <w:pPr>
        <w:jc w:val="both"/>
        <w:divId w:val="1583248694"/>
        <w:rPr>
          <w:rFonts w:eastAsia="Times New Roman"/>
        </w:rPr>
      </w:pPr>
      <w:r>
        <w:rPr>
          <w:rFonts w:eastAsia="Times New Roman"/>
          <w:color w:val="000000"/>
          <w:sz w:val="20"/>
          <w:szCs w:val="20"/>
        </w:rPr>
        <w:t xml:space="preserve">General and administrative expenses decreased by $9.1 million, or 18.0%, for the nine months ended September 30, 2020 as compared to the nine </w:t>
      </w:r>
      <w:r>
        <w:rPr>
          <w:rFonts w:eastAsia="Times New Roman"/>
          <w:color w:val="000000"/>
          <w:sz w:val="20"/>
          <w:szCs w:val="20"/>
        </w:rPr>
        <w:t>months ended September 30, 2019. Employee costs decreased $6.9 million primarily due to $3.3 million in severance costs for executives who exited in March 2019, as well as lower headcount and a decrease in stock-based compensation expense. Professional fee</w:t>
      </w:r>
      <w:r>
        <w:rPr>
          <w:rFonts w:eastAsia="Times New Roman"/>
          <w:color w:val="000000"/>
          <w:sz w:val="20"/>
          <w:szCs w:val="20"/>
        </w:rPr>
        <w:t>s decreased $3.9 million primarily due to fees related to the issuance of Common Stock and warrants in June 2019 and reduced audit and legal fees in 2020 as compared to 2019. These decreases were offset by an increase in bad debt expense of $1.0 million pr</w:t>
      </w:r>
      <w:r>
        <w:rPr>
          <w:rFonts w:eastAsia="Times New Roman"/>
          <w:color w:val="000000"/>
          <w:sz w:val="20"/>
          <w:szCs w:val="20"/>
        </w:rPr>
        <w:t>imarily due to increased reserves related to customers impacted by the current economic environment.</w:t>
      </w:r>
    </w:p>
    <w:p w:rsidR="00000000" w:rsidRDefault="000242E9">
      <w:pPr>
        <w:jc w:val="both"/>
        <w:divId w:val="987175086"/>
        <w:rPr>
          <w:rFonts w:eastAsia="Times New Roman"/>
        </w:rPr>
      </w:pPr>
      <w:r>
        <w:rPr>
          <w:rFonts w:eastAsia="Times New Roman"/>
          <w:b/>
          <w:bCs/>
          <w:i/>
          <w:iCs/>
          <w:color w:val="000000"/>
          <w:sz w:val="20"/>
          <w:szCs w:val="20"/>
        </w:rPr>
        <w:t>Investigation and Audit Related</w:t>
      </w:r>
    </w:p>
    <w:p w:rsidR="00000000" w:rsidRDefault="000242E9">
      <w:pPr>
        <w:jc w:val="both"/>
        <w:divId w:val="1308707399"/>
        <w:rPr>
          <w:rFonts w:eastAsia="Times New Roman"/>
        </w:rPr>
      </w:pPr>
      <w:r>
        <w:rPr>
          <w:rFonts w:eastAsia="Times New Roman"/>
          <w:color w:val="000000"/>
          <w:sz w:val="20"/>
          <w:szCs w:val="20"/>
        </w:rPr>
        <w:t>We did not incur any expenses related to the previously disclosed Audit Committee investigation and prior-year audits durin</w:t>
      </w:r>
      <w:r>
        <w:rPr>
          <w:rFonts w:eastAsia="Times New Roman"/>
          <w:color w:val="000000"/>
          <w:sz w:val="20"/>
          <w:szCs w:val="20"/>
        </w:rPr>
        <w:t>g the three and nine months ended September 30, 2020. The investigation and audit related expenses for the three and nine months ended September 30, 2019 related to ongoing fees for the previously disclosed SEC investigation which was resolved in September</w:t>
      </w:r>
      <w:r>
        <w:rPr>
          <w:rFonts w:eastAsia="Times New Roman"/>
          <w:color w:val="000000"/>
          <w:sz w:val="20"/>
          <w:szCs w:val="20"/>
        </w:rPr>
        <w:t xml:space="preserve"> 2019. We do not expect to incur additional expenses for this matter.</w:t>
      </w:r>
    </w:p>
    <w:p w:rsidR="00000000" w:rsidRDefault="000242E9">
      <w:pPr>
        <w:jc w:val="both"/>
        <w:divId w:val="474031766"/>
        <w:rPr>
          <w:rFonts w:eastAsia="Times New Roman"/>
        </w:rPr>
      </w:pPr>
      <w:r>
        <w:rPr>
          <w:rFonts w:eastAsia="Times New Roman"/>
          <w:b/>
          <w:bCs/>
          <w:i/>
          <w:iCs/>
          <w:color w:val="000000"/>
          <w:sz w:val="20"/>
          <w:szCs w:val="20"/>
        </w:rPr>
        <w:t>Impairment of Goodwill and Intangible Asset</w:t>
      </w:r>
    </w:p>
    <w:p w:rsidR="00000000" w:rsidRDefault="000242E9">
      <w:pPr>
        <w:jc w:val="both"/>
        <w:divId w:val="1673989367"/>
        <w:rPr>
          <w:rFonts w:eastAsia="Times New Roman"/>
        </w:rPr>
      </w:pPr>
      <w:r>
        <w:rPr>
          <w:rFonts w:eastAsia="Times New Roman"/>
          <w:color w:val="000000"/>
          <w:sz w:val="20"/>
          <w:szCs w:val="20"/>
        </w:rPr>
        <w:t>In the second quarter of 2019, as a result of a sustained decline in our stock price and market capitalization, changes in management, and low</w:t>
      </w:r>
      <w:r>
        <w:rPr>
          <w:rFonts w:eastAsia="Times New Roman"/>
          <w:color w:val="000000"/>
          <w:sz w:val="20"/>
          <w:szCs w:val="20"/>
        </w:rPr>
        <w:t>er revenue, among other factors, we performed an interim impairment review of our goodwill and long-lived assets. Our reporting unit did not pass the goodwill impairment test, and as a result we recorded a $224.3 million impairment charge in the second qua</w:t>
      </w:r>
      <w:r>
        <w:rPr>
          <w:rFonts w:eastAsia="Times New Roman"/>
          <w:color w:val="000000"/>
          <w:sz w:val="20"/>
          <w:szCs w:val="20"/>
        </w:rPr>
        <w:t>rter of 2019.</w:t>
      </w:r>
    </w:p>
    <w:p w:rsidR="00000000" w:rsidRDefault="000242E9">
      <w:pPr>
        <w:jc w:val="both"/>
        <w:divId w:val="1963724441"/>
        <w:rPr>
          <w:rFonts w:eastAsia="Times New Roman"/>
        </w:rPr>
      </w:pPr>
      <w:r>
        <w:rPr>
          <w:rFonts w:eastAsia="Times New Roman"/>
          <w:color w:val="000000"/>
          <w:sz w:val="20"/>
          <w:szCs w:val="20"/>
        </w:rPr>
        <w:t>Also in the second quarter of 2019, changes in our projected revenue in certain non-U.S. geographic markets due to the changing international competitive landscape, as well as significant reductions in international staffing during the quarte</w:t>
      </w:r>
      <w:r>
        <w:rPr>
          <w:rFonts w:eastAsia="Times New Roman"/>
          <w:color w:val="000000"/>
          <w:sz w:val="20"/>
          <w:szCs w:val="20"/>
        </w:rPr>
        <w:t xml:space="preserve">r, resulted in a change in </w:t>
      </w:r>
    </w:p>
    <w:p w:rsidR="00000000" w:rsidRDefault="000242E9">
      <w:pPr>
        <w:jc w:val="center"/>
        <w:divId w:val="533810167"/>
        <w:rPr>
          <w:rFonts w:eastAsia="Times New Roman"/>
        </w:rPr>
      </w:pPr>
      <w:r>
        <w:rPr>
          <w:rFonts w:eastAsia="Times New Roman"/>
          <w:color w:val="000000"/>
          <w:sz w:val="20"/>
          <w:szCs w:val="20"/>
        </w:rPr>
        <w:t>27</w:t>
      </w:r>
    </w:p>
    <w:p w:rsidR="00000000" w:rsidRDefault="000242E9">
      <w:pPr>
        <w:rPr>
          <w:rFonts w:eastAsia="Times New Roman"/>
        </w:rPr>
      </w:pPr>
      <w:r>
        <w:rPr>
          <w:rFonts w:eastAsia="Times New Roman"/>
        </w:rPr>
        <w:pict>
          <v:rect id="_x0000_i1054" style="width:0;height:1.5pt" o:hralign="center" o:hrstd="t" o:hr="t" fillcolor="#a0a0a0" stroked="f"/>
        </w:pict>
      </w:r>
    </w:p>
    <w:p w:rsidR="00000000" w:rsidRDefault="000242E9">
      <w:pPr>
        <w:jc w:val="both"/>
        <w:divId w:val="845481680"/>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845481680"/>
        <w:rPr>
          <w:rFonts w:eastAsia="Times New Roman"/>
        </w:rPr>
      </w:pPr>
    </w:p>
    <w:p w:rsidR="00000000" w:rsidRDefault="000242E9">
      <w:pPr>
        <w:jc w:val="both"/>
        <w:divId w:val="1867908947"/>
        <w:rPr>
          <w:rFonts w:eastAsia="Times New Roman"/>
        </w:rPr>
      </w:pPr>
      <w:r>
        <w:rPr>
          <w:rFonts w:eastAsia="Times New Roman"/>
          <w:color w:val="000000"/>
          <w:sz w:val="20"/>
          <w:szCs w:val="20"/>
        </w:rPr>
        <w:t>our long-term view of the viability of our strategic alliance intangible asset. Our assessment yielded that th</w:t>
      </w:r>
      <w:r>
        <w:rPr>
          <w:rFonts w:eastAsia="Times New Roman"/>
          <w:color w:val="000000"/>
          <w:sz w:val="20"/>
          <w:szCs w:val="20"/>
        </w:rPr>
        <w:t>e benefit of the strategic alliance would not be realized, and as a result we recorded a $17.3 million impairment charge in the second quarter of 2019.</w:t>
      </w:r>
    </w:p>
    <w:p w:rsidR="00000000" w:rsidRDefault="000242E9">
      <w:pPr>
        <w:jc w:val="both"/>
        <w:divId w:val="2038314840"/>
        <w:rPr>
          <w:rFonts w:eastAsia="Times New Roman"/>
        </w:rPr>
      </w:pPr>
      <w:r>
        <w:rPr>
          <w:rFonts w:eastAsia="Times New Roman"/>
          <w:color w:val="000000"/>
          <w:sz w:val="20"/>
          <w:szCs w:val="20"/>
        </w:rPr>
        <w:t>There were no comparable charges in the three or nine months ended September 30, 2020.</w:t>
      </w:r>
    </w:p>
    <w:p w:rsidR="00000000" w:rsidRDefault="000242E9">
      <w:pPr>
        <w:jc w:val="both"/>
        <w:divId w:val="885600333"/>
        <w:rPr>
          <w:rFonts w:eastAsia="Times New Roman"/>
        </w:rPr>
      </w:pPr>
      <w:r>
        <w:rPr>
          <w:rFonts w:eastAsia="Times New Roman"/>
          <w:b/>
          <w:bCs/>
          <w:i/>
          <w:iCs/>
          <w:color w:val="000000"/>
          <w:sz w:val="20"/>
          <w:szCs w:val="20"/>
        </w:rPr>
        <w:t>Settlement of Lit</w:t>
      </w:r>
      <w:r>
        <w:rPr>
          <w:rFonts w:eastAsia="Times New Roman"/>
          <w:b/>
          <w:bCs/>
          <w:i/>
          <w:iCs/>
          <w:color w:val="000000"/>
          <w:sz w:val="20"/>
          <w:szCs w:val="20"/>
        </w:rPr>
        <w:t>igation, Net</w:t>
      </w:r>
    </w:p>
    <w:p w:rsidR="00000000" w:rsidRDefault="000242E9">
      <w:pPr>
        <w:jc w:val="both"/>
        <w:divId w:val="2103721221"/>
        <w:rPr>
          <w:rFonts w:eastAsia="Times New Roman"/>
        </w:rPr>
      </w:pPr>
      <w:r>
        <w:rPr>
          <w:rFonts w:eastAsia="Times New Roman"/>
          <w:color w:val="000000"/>
          <w:sz w:val="20"/>
          <w:szCs w:val="20"/>
        </w:rPr>
        <w:t>Settlement of litigation, net consists of losses (or expected losses) from the settlement of various litigation matters. The net settlement of litigation expense for the three and nine months ended September 30, 2019 relates to our liability i</w:t>
      </w:r>
      <w:r>
        <w:rPr>
          <w:rFonts w:eastAsia="Times New Roman"/>
          <w:color w:val="000000"/>
          <w:sz w:val="20"/>
          <w:szCs w:val="20"/>
        </w:rPr>
        <w:t>n connection with the conclusion of the SEC investigation in September 2019, offset by the clawback of $2.1 million from our former chief executive officer.</w:t>
      </w:r>
    </w:p>
    <w:p w:rsidR="00000000" w:rsidRDefault="000242E9">
      <w:pPr>
        <w:jc w:val="both"/>
        <w:divId w:val="326323849"/>
        <w:rPr>
          <w:rFonts w:eastAsia="Times New Roman"/>
        </w:rPr>
      </w:pPr>
      <w:r>
        <w:rPr>
          <w:rFonts w:eastAsia="Times New Roman"/>
          <w:color w:val="000000"/>
          <w:sz w:val="20"/>
          <w:szCs w:val="20"/>
        </w:rPr>
        <w:t>There were no comparable charges in the three or nine months ended September 30, 2020.</w:t>
      </w:r>
    </w:p>
    <w:p w:rsidR="00000000" w:rsidRDefault="000242E9">
      <w:pPr>
        <w:jc w:val="both"/>
        <w:divId w:val="1940676034"/>
        <w:rPr>
          <w:rFonts w:eastAsia="Times New Roman"/>
        </w:rPr>
      </w:pPr>
      <w:r>
        <w:rPr>
          <w:rFonts w:eastAsia="Times New Roman"/>
          <w:b/>
          <w:bCs/>
          <w:i/>
          <w:iCs/>
          <w:color w:val="000000"/>
          <w:sz w:val="20"/>
          <w:szCs w:val="20"/>
        </w:rPr>
        <w:t>Impairment o</w:t>
      </w:r>
      <w:r>
        <w:rPr>
          <w:rFonts w:eastAsia="Times New Roman"/>
          <w:b/>
          <w:bCs/>
          <w:i/>
          <w:iCs/>
          <w:color w:val="000000"/>
          <w:sz w:val="20"/>
          <w:szCs w:val="20"/>
        </w:rPr>
        <w:t>f Right-of-use and Long-lived Assets</w:t>
      </w:r>
    </w:p>
    <w:p w:rsidR="00000000" w:rsidRDefault="000242E9">
      <w:pPr>
        <w:jc w:val="both"/>
        <w:divId w:val="1879201013"/>
        <w:rPr>
          <w:rFonts w:eastAsia="Times New Roman"/>
        </w:rPr>
      </w:pPr>
      <w:r>
        <w:rPr>
          <w:rFonts w:eastAsia="Times New Roman"/>
          <w:color w:val="000000"/>
          <w:sz w:val="20"/>
          <w:szCs w:val="20"/>
        </w:rPr>
        <w:t>In the first quarter of 2020, we recorded a $4.7 million impairment charge related to our facility lease right-of-use assets and associated leasehold improvements for certain properties currently on the market for sublease. The impairment charge was driven</w:t>
      </w:r>
      <w:r>
        <w:rPr>
          <w:rFonts w:eastAsia="Times New Roman"/>
          <w:color w:val="000000"/>
          <w:sz w:val="20"/>
          <w:szCs w:val="20"/>
        </w:rPr>
        <w:t xml:space="preserve"> by changes in our projected undiscounted cash flows for certain properties, primarily as a result of changes in the real estate market related to the COVID-19 pandemic, that led to an increase in the estimated marketing time and a reduction of expected re</w:t>
      </w:r>
      <w:r>
        <w:rPr>
          <w:rFonts w:eastAsia="Times New Roman"/>
          <w:color w:val="000000"/>
          <w:sz w:val="20"/>
          <w:szCs w:val="20"/>
        </w:rPr>
        <w:t>ceipts.</w:t>
      </w:r>
    </w:p>
    <w:p w:rsidR="00000000" w:rsidRDefault="000242E9">
      <w:pPr>
        <w:jc w:val="both"/>
        <w:divId w:val="1473671869"/>
        <w:rPr>
          <w:rFonts w:eastAsia="Times New Roman"/>
        </w:rPr>
      </w:pPr>
      <w:r>
        <w:rPr>
          <w:rFonts w:eastAsia="Times New Roman"/>
          <w:b/>
          <w:bCs/>
          <w:i/>
          <w:iCs/>
          <w:color w:val="000000"/>
          <w:sz w:val="20"/>
          <w:szCs w:val="20"/>
        </w:rPr>
        <w:t>Interest Expense, Net</w:t>
      </w:r>
    </w:p>
    <w:p w:rsidR="00000000" w:rsidRDefault="000242E9">
      <w:pPr>
        <w:jc w:val="both"/>
        <w:divId w:val="1874882505"/>
        <w:rPr>
          <w:rFonts w:eastAsia="Times New Roman"/>
        </w:rPr>
      </w:pPr>
      <w:r>
        <w:rPr>
          <w:rFonts w:eastAsia="Times New Roman"/>
          <w:color w:val="000000"/>
          <w:sz w:val="20"/>
          <w:szCs w:val="20"/>
        </w:rPr>
        <w:t>Interest expense, net consists of interest income and interest expense. Interest income primarily consists of interest earned from our cash and cash equivalent balances. Interest expense relates to interest on our senior secur</w:t>
      </w:r>
      <w:r>
        <w:rPr>
          <w:rFonts w:eastAsia="Times New Roman"/>
          <w:color w:val="000000"/>
          <w:sz w:val="20"/>
          <w:szCs w:val="20"/>
        </w:rPr>
        <w:t>ed convertible notes ("Notes"), secured term note (the "Secured Term Note") and our finance leases.</w:t>
      </w:r>
    </w:p>
    <w:p w:rsidR="00000000" w:rsidRDefault="000242E9">
      <w:pPr>
        <w:jc w:val="both"/>
        <w:divId w:val="147985677"/>
        <w:rPr>
          <w:rFonts w:eastAsia="Times New Roman"/>
        </w:rPr>
      </w:pPr>
      <w:r>
        <w:rPr>
          <w:rFonts w:eastAsia="Times New Roman"/>
          <w:color w:val="000000"/>
          <w:sz w:val="20"/>
          <w:szCs w:val="20"/>
        </w:rPr>
        <w:t>During the three months ended September 30, 2020 and 2019, we incurred interest expense, net of $9.0 million and $8.2 million, respectively, and $26.7 milli</w:t>
      </w:r>
      <w:r>
        <w:rPr>
          <w:rFonts w:eastAsia="Times New Roman"/>
          <w:color w:val="000000"/>
          <w:sz w:val="20"/>
          <w:szCs w:val="20"/>
        </w:rPr>
        <w:t>on and $23.2 million during the nine months ended September 30, 2020 and 2019, respectively. The increase in interest expense, net for the three months ended September 30, 2020 compared with the three months ended September 30, 2019 was primarily due to th</w:t>
      </w:r>
      <w:r>
        <w:rPr>
          <w:rFonts w:eastAsia="Times New Roman"/>
          <w:color w:val="000000"/>
          <w:sz w:val="20"/>
          <w:szCs w:val="20"/>
        </w:rPr>
        <w:t>e issuance of the Secured Term Note in December 2019. The increase in interest expense, net for the nine months ended September 30, 2020 compared with the nine months ended September 30, 2019 was primarily driven by the interest rate reset feature on the N</w:t>
      </w:r>
      <w:r>
        <w:rPr>
          <w:rFonts w:eastAsia="Times New Roman"/>
          <w:color w:val="000000"/>
          <w:sz w:val="20"/>
          <w:szCs w:val="20"/>
        </w:rPr>
        <w:t>otes, which reset the interest rate from 6.0% to 12.0% in January 2019, and the issuance of the Secured Term Note in December 2019.</w:t>
      </w:r>
    </w:p>
    <w:p w:rsidR="00000000" w:rsidRDefault="000242E9">
      <w:pPr>
        <w:jc w:val="both"/>
        <w:divId w:val="842166666"/>
        <w:rPr>
          <w:rFonts w:eastAsia="Times New Roman"/>
        </w:rPr>
      </w:pPr>
      <w:r>
        <w:rPr>
          <w:rFonts w:eastAsia="Times New Roman"/>
          <w:b/>
          <w:bCs/>
          <w:i/>
          <w:iCs/>
          <w:color w:val="000000"/>
          <w:sz w:val="20"/>
          <w:szCs w:val="20"/>
        </w:rPr>
        <w:t>Other Income, Net</w:t>
      </w:r>
    </w:p>
    <w:p w:rsidR="00000000" w:rsidRDefault="000242E9">
      <w:pPr>
        <w:divId w:val="1723749256"/>
        <w:rPr>
          <w:rFonts w:eastAsia="Times New Roman"/>
        </w:rPr>
      </w:pPr>
      <w:r>
        <w:rPr>
          <w:rFonts w:eastAsia="Times New Roman"/>
          <w:color w:val="000000"/>
          <w:sz w:val="20"/>
          <w:szCs w:val="20"/>
        </w:rPr>
        <w:t>Other income, net represents income and expenses incurred that are generally not part of our regular opera</w:t>
      </w:r>
      <w:r>
        <w:rPr>
          <w:rFonts w:eastAsia="Times New Roman"/>
          <w:color w:val="000000"/>
          <w:sz w:val="20"/>
          <w:szCs w:val="20"/>
        </w:rPr>
        <w:t>tions. The following is a summary of other income, net for the three and nine months ended September 30,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3502"/>
        <w:gridCol w:w="37"/>
        <w:gridCol w:w="110"/>
        <w:gridCol w:w="955"/>
        <w:gridCol w:w="36"/>
        <w:gridCol w:w="36"/>
        <w:gridCol w:w="36"/>
        <w:gridCol w:w="36"/>
        <w:gridCol w:w="110"/>
        <w:gridCol w:w="955"/>
        <w:gridCol w:w="36"/>
        <w:gridCol w:w="36"/>
        <w:gridCol w:w="36"/>
        <w:gridCol w:w="36"/>
        <w:gridCol w:w="110"/>
        <w:gridCol w:w="955"/>
        <w:gridCol w:w="36"/>
        <w:gridCol w:w="36"/>
        <w:gridCol w:w="36"/>
        <w:gridCol w:w="36"/>
        <w:gridCol w:w="110"/>
        <w:gridCol w:w="956"/>
        <w:gridCol w:w="36"/>
      </w:tblGrid>
      <w:tr w:rsidR="00000000">
        <w:trPr>
          <w:divId w:val="462816288"/>
        </w:trPr>
        <w:tc>
          <w:tcPr>
            <w:tcW w:w="50" w:type="pct"/>
            <w:vAlign w:val="center"/>
            <w:hideMark/>
          </w:tcPr>
          <w:p w:rsidR="00000000" w:rsidRDefault="000242E9">
            <w:pPr>
              <w:rPr>
                <w:rFonts w:eastAsia="Times New Roman"/>
              </w:rPr>
            </w:pPr>
          </w:p>
        </w:tc>
        <w:tc>
          <w:tcPr>
            <w:tcW w:w="216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462816288"/>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462816288"/>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462816288"/>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financing derivatives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62816288"/>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warrants liability</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1,872 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5,765 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4,893 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62816288"/>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Change in fair value of investment in equity securities</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(2,324)</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62816288"/>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1,152 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462816288"/>
        </w:trPr>
        <w:tc>
          <w:tcPr>
            <w:tcW w:w="0" w:type="auto"/>
            <w:gridSpan w:val="3"/>
            <w:shd w:val="clear" w:color="auto" w:fill="CCEEFF"/>
            <w:tcMar>
              <w:top w:w="30" w:type="dxa"/>
              <w:left w:w="20" w:type="dxa"/>
              <w:bottom w:w="30" w:type="dxa"/>
              <w:right w:w="20" w:type="dxa"/>
            </w:tcMar>
            <w:vAlign w:val="bottom"/>
            <w:hideMark/>
          </w:tcPr>
          <w:p w:rsidR="00000000" w:rsidRDefault="000242E9">
            <w:pPr>
              <w:divId w:val="928932232"/>
              <w:rPr>
                <w:rFonts w:eastAsia="Times New Roman"/>
              </w:rPr>
            </w:pPr>
            <w:r>
              <w:rPr>
                <w:rFonts w:eastAsia="Times New Roman"/>
                <w:color w:val="000000"/>
                <w:sz w:val="18"/>
                <w:szCs w:val="18"/>
              </w:rPr>
              <w:t>Total other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12,862 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6,621 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135441391"/>
        <w:rPr>
          <w:rFonts w:eastAsia="Times New Roman"/>
        </w:rPr>
      </w:pPr>
      <w:r>
        <w:rPr>
          <w:rFonts w:eastAsia="Times New Roman"/>
          <w:color w:val="000000"/>
          <w:sz w:val="20"/>
          <w:szCs w:val="20"/>
        </w:rPr>
        <w:t xml:space="preserve">Other income, net for the three and nine months ended September 30, </w:t>
      </w:r>
      <w:r>
        <w:rPr>
          <w:rFonts w:eastAsia="Times New Roman"/>
          <w:color w:val="000000"/>
          <w:sz w:val="20"/>
          <w:szCs w:val="20"/>
        </w:rPr>
        <w:t>2020 was driven primarily by the gain from the changes in fair value of our financing derivatives and warrants liabilities. Other income, net for the three and nine months ended September 30, 2019 primarily relates to gains from the changes in fair value o</w:t>
      </w:r>
      <w:r>
        <w:rPr>
          <w:rFonts w:eastAsia="Times New Roman"/>
          <w:color w:val="000000"/>
          <w:sz w:val="20"/>
          <w:szCs w:val="20"/>
        </w:rPr>
        <w:t>f our financing derivatives and warrants liability, offset by a loss due to the decline in the fair value of our investment in equity securities, which were sold in 2019.</w:t>
      </w:r>
    </w:p>
    <w:p w:rsidR="00000000" w:rsidRDefault="000242E9">
      <w:pPr>
        <w:jc w:val="both"/>
        <w:divId w:val="1818112734"/>
        <w:rPr>
          <w:rFonts w:eastAsia="Times New Roman"/>
        </w:rPr>
      </w:pPr>
      <w:r>
        <w:rPr>
          <w:rFonts w:eastAsia="Times New Roman"/>
          <w:b/>
          <w:bCs/>
          <w:i/>
          <w:iCs/>
          <w:color w:val="000000"/>
          <w:sz w:val="20"/>
          <w:szCs w:val="20"/>
        </w:rPr>
        <w:t>(Loss) Gain From Foreign Currency Transactions</w:t>
      </w:r>
    </w:p>
    <w:p w:rsidR="00000000" w:rsidRDefault="000242E9">
      <w:pPr>
        <w:jc w:val="both"/>
        <w:divId w:val="393165235"/>
        <w:rPr>
          <w:rFonts w:eastAsia="Times New Roman"/>
        </w:rPr>
      </w:pPr>
      <w:r>
        <w:rPr>
          <w:rFonts w:eastAsia="Times New Roman"/>
          <w:color w:val="000000"/>
          <w:sz w:val="20"/>
          <w:szCs w:val="20"/>
        </w:rPr>
        <w:t>Our foreign currency transactions are recorded as a result of fluctuations in the exchange rate between the transactional currency and the functional currency of foreign subsidiary transactions. Our international currency exposures that relate to the trans</w:t>
      </w:r>
      <w:r>
        <w:rPr>
          <w:rFonts w:eastAsia="Times New Roman"/>
          <w:color w:val="000000"/>
          <w:sz w:val="20"/>
          <w:szCs w:val="20"/>
        </w:rPr>
        <w:t xml:space="preserve">lation to U.S. Dollars are in a net liability position and our international currency exposures that relate to the translation from U.S. Dollars are in a net asset position. The U.S. Dollar strengthened during the first quarter of 2020 which was offset by </w:t>
      </w:r>
      <w:r>
        <w:rPr>
          <w:rFonts w:eastAsia="Times New Roman"/>
          <w:color w:val="000000"/>
          <w:sz w:val="20"/>
          <w:szCs w:val="20"/>
        </w:rPr>
        <w:t xml:space="preserve">weakness of the U.S. Dollar in the second and third quarters of 2020. For the three and nine months ended September 30, 2020, the loss from foreign currency transactions was $2.0 million and $2.2 million, respectively. </w:t>
      </w:r>
      <w:r>
        <w:rPr>
          <w:rFonts w:eastAsia="Times New Roman"/>
          <w:color w:val="212529"/>
          <w:sz w:val="20"/>
          <w:szCs w:val="20"/>
        </w:rPr>
        <w:t>The losses were primarily driven by f</w:t>
      </w:r>
      <w:r>
        <w:rPr>
          <w:rFonts w:eastAsia="Times New Roman"/>
          <w:color w:val="212529"/>
          <w:sz w:val="20"/>
          <w:szCs w:val="20"/>
        </w:rPr>
        <w:t xml:space="preserve">luctuations in the Chilean Peso against the U.S. Dollar and Euro and the U.S. Dollar against the Euro exchange rates. </w:t>
      </w:r>
      <w:r>
        <w:rPr>
          <w:rFonts w:eastAsia="Times New Roman"/>
          <w:color w:val="000000"/>
          <w:sz w:val="20"/>
          <w:szCs w:val="20"/>
        </w:rPr>
        <w:t>For the three and nine months ended September 30, 2019, the gain from foreign currency transactions was $1.2 million and $0.8 million, res</w:t>
      </w:r>
      <w:r>
        <w:rPr>
          <w:rFonts w:eastAsia="Times New Roman"/>
          <w:color w:val="000000"/>
          <w:sz w:val="20"/>
          <w:szCs w:val="20"/>
        </w:rPr>
        <w:t xml:space="preserve">pectively. The gains were primarily driven </w:t>
      </w:r>
    </w:p>
    <w:p w:rsidR="00000000" w:rsidRDefault="000242E9">
      <w:pPr>
        <w:jc w:val="center"/>
        <w:divId w:val="597494003"/>
        <w:rPr>
          <w:rFonts w:eastAsia="Times New Roman"/>
        </w:rPr>
      </w:pPr>
      <w:r>
        <w:rPr>
          <w:rFonts w:eastAsia="Times New Roman"/>
          <w:color w:val="000000"/>
          <w:sz w:val="20"/>
          <w:szCs w:val="20"/>
        </w:rPr>
        <w:t>28</w:t>
      </w:r>
    </w:p>
    <w:p w:rsidR="00000000" w:rsidRDefault="000242E9">
      <w:pPr>
        <w:rPr>
          <w:rFonts w:eastAsia="Times New Roman"/>
        </w:rPr>
      </w:pPr>
      <w:r>
        <w:rPr>
          <w:rFonts w:eastAsia="Times New Roman"/>
        </w:rPr>
        <w:pict>
          <v:rect id="_x0000_i1055" style="width:0;height:1.5pt" o:hralign="center" o:hrstd="t" o:hr="t" fillcolor="#a0a0a0" stroked="f"/>
        </w:pict>
      </w:r>
    </w:p>
    <w:p w:rsidR="00000000" w:rsidRDefault="000242E9">
      <w:pPr>
        <w:jc w:val="both"/>
        <w:divId w:val="156371050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563710504"/>
        <w:rPr>
          <w:rFonts w:eastAsia="Times New Roman"/>
        </w:rPr>
      </w:pPr>
    </w:p>
    <w:p w:rsidR="00000000" w:rsidRDefault="000242E9">
      <w:pPr>
        <w:jc w:val="both"/>
        <w:divId w:val="737629961"/>
        <w:rPr>
          <w:rFonts w:eastAsia="Times New Roman"/>
        </w:rPr>
      </w:pPr>
      <w:r>
        <w:rPr>
          <w:rFonts w:eastAsia="Times New Roman"/>
          <w:color w:val="000000"/>
          <w:sz w:val="20"/>
          <w:szCs w:val="20"/>
        </w:rPr>
        <w:t xml:space="preserve">by fluctuations in the Chilean Peso against the U.S. Dollar and Euro, the U.S. Dollar against </w:t>
      </w:r>
      <w:r>
        <w:rPr>
          <w:rFonts w:eastAsia="Times New Roman"/>
          <w:color w:val="000000"/>
          <w:sz w:val="20"/>
          <w:szCs w:val="20"/>
        </w:rPr>
        <w:t>the Euro and Canadian Dollar, and Euro against the Canadian Dollar exchange rates.</w:t>
      </w:r>
    </w:p>
    <w:p w:rsidR="00000000" w:rsidRDefault="000242E9">
      <w:pPr>
        <w:jc w:val="both"/>
        <w:divId w:val="409469325"/>
        <w:rPr>
          <w:rFonts w:eastAsia="Times New Roman"/>
        </w:rPr>
      </w:pPr>
      <w:r>
        <w:rPr>
          <w:rFonts w:eastAsia="Times New Roman"/>
          <w:b/>
          <w:bCs/>
          <w:i/>
          <w:iCs/>
          <w:color w:val="000000"/>
          <w:sz w:val="20"/>
          <w:szCs w:val="20"/>
        </w:rPr>
        <w:t>Income Tax (Provision) Benefit</w:t>
      </w:r>
    </w:p>
    <w:p w:rsidR="00000000" w:rsidRDefault="000242E9">
      <w:pPr>
        <w:jc w:val="both"/>
        <w:divId w:val="76943625"/>
        <w:rPr>
          <w:rFonts w:eastAsia="Times New Roman"/>
        </w:rPr>
      </w:pPr>
      <w:r>
        <w:rPr>
          <w:rFonts w:eastAsia="Times New Roman"/>
          <w:color w:val="000000"/>
          <w:sz w:val="20"/>
          <w:szCs w:val="20"/>
        </w:rPr>
        <w:t>A valuation allowance has been established against our net U.S. federal and state deferred tax assets, including net operating loss carryforwa</w:t>
      </w:r>
      <w:r>
        <w:rPr>
          <w:rFonts w:eastAsia="Times New Roman"/>
          <w:color w:val="000000"/>
          <w:sz w:val="20"/>
          <w:szCs w:val="20"/>
        </w:rPr>
        <w:t>rds. As a result, our income tax position is primarily related to foreign tax activity.</w:t>
      </w:r>
    </w:p>
    <w:p w:rsidR="00000000" w:rsidRDefault="000242E9">
      <w:pPr>
        <w:jc w:val="both"/>
        <w:divId w:val="251398320"/>
        <w:rPr>
          <w:rFonts w:eastAsia="Times New Roman"/>
        </w:rPr>
      </w:pPr>
      <w:r>
        <w:rPr>
          <w:rFonts w:eastAsia="Times New Roman"/>
          <w:color w:val="000000"/>
          <w:sz w:val="20"/>
          <w:szCs w:val="20"/>
        </w:rPr>
        <w:t>During the three months ended September 30, 2020, we recorded an income tax provision of $0.2 million, resulting in an effective tax rate of 2.2%. During the nine month</w:t>
      </w:r>
      <w:r>
        <w:rPr>
          <w:rFonts w:eastAsia="Times New Roman"/>
          <w:color w:val="000000"/>
          <w:sz w:val="20"/>
          <w:szCs w:val="20"/>
        </w:rPr>
        <w:t xml:space="preserve">s ended September 30, 2020, we recorded an income tax benefit of $0.8 million, resulting in an effective tax rate of 2.4%. During the three months ended September 30, 2019, we recorded an income tax provision of $0.6 million, resulting in an effective tax </w:t>
      </w:r>
      <w:r>
        <w:rPr>
          <w:rFonts w:eastAsia="Times New Roman"/>
          <w:color w:val="000000"/>
          <w:sz w:val="20"/>
          <w:szCs w:val="20"/>
        </w:rPr>
        <w:t>rate of 5.5%. During the nine months ended September 30, 2019, we recorded an income tax benefit of $2.7 million, resulting in an effective tax rate of 0.9%. These effective tax rates differ from the U.S. federal statutory rate primarily due to the effects</w:t>
      </w:r>
      <w:r>
        <w:rPr>
          <w:rFonts w:eastAsia="Times New Roman"/>
          <w:color w:val="000000"/>
          <w:sz w:val="20"/>
          <w:szCs w:val="20"/>
        </w:rPr>
        <w:t xml:space="preserve"> of foreign tax rate differences, U.S. state legislative changes and changes in the valuation allowance against our domestic deferred tax assets. </w:t>
      </w:r>
    </w:p>
    <w:p w:rsidR="00000000" w:rsidRDefault="000242E9">
      <w:pPr>
        <w:jc w:val="both"/>
        <w:divId w:val="1524856453"/>
        <w:rPr>
          <w:rFonts w:eastAsia="Times New Roman"/>
        </w:rPr>
      </w:pPr>
      <w:r>
        <w:rPr>
          <w:rFonts w:eastAsia="Times New Roman"/>
          <w:color w:val="000000"/>
          <w:sz w:val="20"/>
          <w:szCs w:val="20"/>
        </w:rPr>
        <w:t xml:space="preserve">The COVID-19 pandemic has a global reach, and many countries are introducing measures that provide relief to </w:t>
      </w:r>
      <w:r>
        <w:rPr>
          <w:rFonts w:eastAsia="Times New Roman"/>
          <w:color w:val="000000"/>
          <w:sz w:val="20"/>
          <w:szCs w:val="20"/>
        </w:rPr>
        <w:t>taxpayers in a variety of ways. We are currently evaluating these measures, including the CARES Act in the United States, but these did not have an impact on our income tax (provision) benefit for the three and nine months ended September 30, 2020.</w:t>
      </w:r>
    </w:p>
    <w:p w:rsidR="00000000" w:rsidRDefault="000242E9">
      <w:pPr>
        <w:jc w:val="both"/>
        <w:divId w:val="1697848380"/>
        <w:rPr>
          <w:rFonts w:eastAsia="Times New Roman"/>
        </w:rPr>
      </w:pPr>
      <w:r>
        <w:rPr>
          <w:rFonts w:eastAsia="Times New Roman"/>
          <w:b/>
          <w:bCs/>
          <w:i/>
          <w:iCs/>
          <w:color w:val="000000"/>
          <w:sz w:val="20"/>
          <w:szCs w:val="20"/>
        </w:rPr>
        <w:t xml:space="preserve">Recent </w:t>
      </w:r>
      <w:r>
        <w:rPr>
          <w:rFonts w:eastAsia="Times New Roman"/>
          <w:b/>
          <w:bCs/>
          <w:i/>
          <w:iCs/>
          <w:color w:val="000000"/>
          <w:sz w:val="20"/>
          <w:szCs w:val="20"/>
        </w:rPr>
        <w:t>Accounting Pronouncements</w:t>
      </w:r>
    </w:p>
    <w:p w:rsidR="00000000" w:rsidRDefault="000242E9">
      <w:pPr>
        <w:jc w:val="both"/>
        <w:divId w:val="882448283"/>
        <w:rPr>
          <w:rFonts w:eastAsia="Times New Roman"/>
        </w:rPr>
      </w:pPr>
      <w:r>
        <w:rPr>
          <w:rFonts w:eastAsia="Times New Roman"/>
          <w:color w:val="000000"/>
          <w:sz w:val="20"/>
          <w:szCs w:val="20"/>
        </w:rPr>
        <w:t xml:space="preserve">For a discussion of recent accounting pronouncements, refer to </w:t>
      </w:r>
      <w:hyperlink w:anchor="if7a518a588154f7ab52f3429da641a28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w:t>
      </w:r>
    </w:p>
    <w:p w:rsidR="00000000" w:rsidRDefault="000242E9">
      <w:pPr>
        <w:jc w:val="both"/>
        <w:divId w:val="775910187"/>
        <w:rPr>
          <w:rFonts w:eastAsia="Times New Roman"/>
        </w:rPr>
      </w:pPr>
      <w:r>
        <w:rPr>
          <w:rFonts w:eastAsia="Times New Roman"/>
          <w:b/>
          <w:bCs/>
          <w:color w:val="000000"/>
          <w:sz w:val="20"/>
          <w:szCs w:val="20"/>
        </w:rPr>
        <w:t>Non-GAAP Financial Measures</w:t>
      </w:r>
    </w:p>
    <w:p w:rsidR="00000000" w:rsidRDefault="000242E9">
      <w:pPr>
        <w:jc w:val="both"/>
        <w:divId w:val="1427187740"/>
        <w:rPr>
          <w:rFonts w:eastAsia="Times New Roman"/>
        </w:rPr>
      </w:pPr>
      <w:r>
        <w:rPr>
          <w:rFonts w:eastAsia="Times New Roman"/>
          <w:color w:val="000000"/>
          <w:sz w:val="20"/>
          <w:szCs w:val="20"/>
        </w:rPr>
        <w:t>To provide investors with additional information regarding our financial results, and to comply with a covenant under our Notes (described below), we are disclosing herein Adjusted Earnings Before Interest, Taxes, Depreciation a</w:t>
      </w:r>
      <w:r>
        <w:rPr>
          <w:rFonts w:eastAsia="Times New Roman"/>
          <w:color w:val="000000"/>
          <w:sz w:val="20"/>
          <w:szCs w:val="20"/>
        </w:rPr>
        <w:t>nd Amortization ("EBITDA") and non-GAAP net loss, each of which are non-GAAP financial measures used by our management to understand and evaluate our core operating performance and trends. We believe that these non-GAAP financial measures provide useful in</w:t>
      </w:r>
      <w:r>
        <w:rPr>
          <w:rFonts w:eastAsia="Times New Roman"/>
          <w:color w:val="000000"/>
          <w:sz w:val="20"/>
          <w:szCs w:val="20"/>
        </w:rPr>
        <w:t>formation to investors and others in understanding and evaluating our operating results, as they permit our investors to view our core business performance using the same metrics that management uses to evaluate our performance.</w:t>
      </w:r>
    </w:p>
    <w:p w:rsidR="00000000" w:rsidRDefault="000242E9">
      <w:pPr>
        <w:jc w:val="both"/>
        <w:divId w:val="1187599786"/>
        <w:rPr>
          <w:rFonts w:eastAsia="Times New Roman"/>
        </w:rPr>
      </w:pPr>
      <w:r>
        <w:rPr>
          <w:rFonts w:eastAsia="Times New Roman"/>
          <w:color w:val="000000"/>
          <w:sz w:val="20"/>
          <w:szCs w:val="20"/>
        </w:rPr>
        <w:t>EBITDA is defined as GAAP n</w:t>
      </w:r>
      <w:r>
        <w:rPr>
          <w:rFonts w:eastAsia="Times New Roman"/>
          <w:color w:val="000000"/>
          <w:sz w:val="20"/>
          <w:szCs w:val="20"/>
        </w:rPr>
        <w:t>et income (loss) plus or minus interest, taxes, depreciation and amortization of intangible assets and finance leases. We define Adjusted EBITDA as EBITDA plus or minus stock-based compensation expense as well as other items and amounts that we view as not</w:t>
      </w:r>
      <w:r>
        <w:rPr>
          <w:rFonts w:eastAsia="Times New Roman"/>
          <w:color w:val="000000"/>
          <w:sz w:val="20"/>
          <w:szCs w:val="20"/>
        </w:rPr>
        <w:t xml:space="preserve"> indicative of our core operating performance, specifically: charges for matters relating to the prior-year Audit Committee investigation, such as litigation and investigation-related costs, costs associated with tax projects, audits, consulting and other </w:t>
      </w:r>
      <w:r>
        <w:rPr>
          <w:rFonts w:eastAsia="Times New Roman"/>
          <w:color w:val="000000"/>
          <w:sz w:val="20"/>
          <w:szCs w:val="20"/>
        </w:rPr>
        <w:t xml:space="preserve">professional fees; other legal proceedings specified in the Notes; settlement of certain litigation; restructuring expense; transaction costs related to the issuance of equity securities; non-cash impairment charges; and non-cash changes in the fair value </w:t>
      </w:r>
      <w:r>
        <w:rPr>
          <w:rFonts w:eastAsia="Times New Roman"/>
          <w:color w:val="000000"/>
          <w:sz w:val="20"/>
          <w:szCs w:val="20"/>
        </w:rPr>
        <w:t>of financing derivatives, warrants liability and investments in equity securities.</w:t>
      </w:r>
    </w:p>
    <w:p w:rsidR="00000000" w:rsidRDefault="000242E9">
      <w:pPr>
        <w:jc w:val="both"/>
        <w:divId w:val="1954089835"/>
        <w:rPr>
          <w:rFonts w:eastAsia="Times New Roman"/>
        </w:rPr>
      </w:pPr>
      <w:r>
        <w:rPr>
          <w:rFonts w:eastAsia="Times New Roman"/>
          <w:color w:val="000000"/>
          <w:sz w:val="20"/>
          <w:szCs w:val="20"/>
        </w:rPr>
        <w:t>We define non-GAAP net loss as GAAP net income (loss) plus or minus stock-based compensation expense and amortization of intangible assets, as well as other items and amount</w:t>
      </w:r>
      <w:r>
        <w:rPr>
          <w:rFonts w:eastAsia="Times New Roman"/>
          <w:color w:val="000000"/>
          <w:sz w:val="20"/>
          <w:szCs w:val="20"/>
        </w:rPr>
        <w:t xml:space="preserve">s that we view as not indicative of our core operating performance, specifically: charges for matters relating to the prior-year Audit Committee investigation, such as litigation and investigation-related costs, costs associated with tax projects, audits, </w:t>
      </w:r>
      <w:r>
        <w:rPr>
          <w:rFonts w:eastAsia="Times New Roman"/>
          <w:color w:val="000000"/>
          <w:sz w:val="20"/>
          <w:szCs w:val="20"/>
        </w:rPr>
        <w:t>consulting and other professional fees; other legal proceedings specified in the Notes; settlement of certain litigation; restructuring expense; transaction costs related to the issuance of equity securities; non-cash impairment charges; and non-cash chang</w:t>
      </w:r>
      <w:r>
        <w:rPr>
          <w:rFonts w:eastAsia="Times New Roman"/>
          <w:color w:val="000000"/>
          <w:sz w:val="20"/>
          <w:szCs w:val="20"/>
        </w:rPr>
        <w:t>es in the fair value of financing derivatives, warrants liability and investments in equity securities.</w:t>
      </w:r>
    </w:p>
    <w:p w:rsidR="00000000" w:rsidRDefault="000242E9">
      <w:pPr>
        <w:jc w:val="both"/>
        <w:divId w:val="502357167"/>
        <w:rPr>
          <w:rFonts w:eastAsia="Times New Roman"/>
        </w:rPr>
      </w:pPr>
      <w:r>
        <w:rPr>
          <w:rFonts w:eastAsia="Times New Roman"/>
          <w:color w:val="000000"/>
          <w:sz w:val="20"/>
          <w:szCs w:val="20"/>
        </w:rPr>
        <w:t xml:space="preserve">Our use of these non-GAAP financial measures has limitations as an analytical tool, and investors should not consider these measures in isolation or as </w:t>
      </w:r>
      <w:r>
        <w:rPr>
          <w:rFonts w:eastAsia="Times New Roman"/>
          <w:color w:val="000000"/>
          <w:sz w:val="20"/>
          <w:szCs w:val="20"/>
        </w:rPr>
        <w:t>a substitute for analysis of our results as reported under GAAP. The limitations of such non-GAAP measures include the following:</w:t>
      </w:r>
    </w:p>
    <w:p w:rsidR="00000000" w:rsidRDefault="000242E9">
      <w:pPr>
        <w:ind w:hanging="540"/>
        <w:jc w:val="both"/>
        <w:divId w:val="1430663777"/>
        <w:rPr>
          <w:rFonts w:eastAsia="Times New Roman"/>
        </w:rPr>
      </w:pPr>
      <w:r>
        <w:rPr>
          <w:rFonts w:eastAsia="Times New Roman"/>
          <w:color w:val="000000"/>
          <w:sz w:val="20"/>
          <w:szCs w:val="20"/>
        </w:rPr>
        <w:t>•Adjusted EBITDA does not reflect tax or interest payments that represent a reduction in cash available to us (or, in the case</w:t>
      </w:r>
      <w:r>
        <w:rPr>
          <w:rFonts w:eastAsia="Times New Roman"/>
          <w:color w:val="000000"/>
          <w:sz w:val="20"/>
          <w:szCs w:val="20"/>
        </w:rPr>
        <w:t xml:space="preserve"> of interest paid in Common Stock, that represent additional dilution to our existing stockholders);</w:t>
      </w:r>
    </w:p>
    <w:p w:rsidR="00000000" w:rsidRDefault="000242E9">
      <w:pPr>
        <w:ind w:hanging="540"/>
        <w:jc w:val="both"/>
        <w:divId w:val="1115058402"/>
        <w:rPr>
          <w:rFonts w:eastAsia="Times New Roman"/>
        </w:rPr>
      </w:pPr>
      <w:r>
        <w:rPr>
          <w:rFonts w:eastAsia="Times New Roman"/>
          <w:color w:val="000000"/>
          <w:sz w:val="20"/>
          <w:szCs w:val="20"/>
        </w:rPr>
        <w:t>•Depreciation and amortization are non-cash charges and the assets being depreciated may have to be replaced in the future. Adjusted EBITDA does not reflec</w:t>
      </w:r>
      <w:r>
        <w:rPr>
          <w:rFonts w:eastAsia="Times New Roman"/>
          <w:color w:val="000000"/>
          <w:sz w:val="20"/>
          <w:szCs w:val="20"/>
        </w:rPr>
        <w:t>t cash capital expenditure requirements for such replacements or for new capital expenditure requirements;</w:t>
      </w:r>
    </w:p>
    <w:p w:rsidR="00000000" w:rsidRDefault="000242E9">
      <w:pPr>
        <w:ind w:hanging="540"/>
        <w:jc w:val="both"/>
        <w:divId w:val="628434602"/>
        <w:rPr>
          <w:rFonts w:eastAsia="Times New Roman"/>
        </w:rPr>
      </w:pPr>
      <w:r>
        <w:rPr>
          <w:rFonts w:eastAsia="Times New Roman"/>
          <w:color w:val="000000"/>
          <w:sz w:val="20"/>
          <w:szCs w:val="20"/>
        </w:rPr>
        <w:t>•Adjusted EBITDA does not reflect changes in, or cash requirements for, our working capital needs;</w:t>
      </w:r>
    </w:p>
    <w:p w:rsidR="00000000" w:rsidRDefault="000242E9">
      <w:pPr>
        <w:ind w:hanging="540"/>
        <w:jc w:val="both"/>
        <w:divId w:val="1232932060"/>
        <w:rPr>
          <w:rFonts w:eastAsia="Times New Roman"/>
        </w:rPr>
      </w:pPr>
      <w:r>
        <w:rPr>
          <w:rFonts w:eastAsia="Times New Roman"/>
          <w:color w:val="000000"/>
          <w:sz w:val="20"/>
          <w:szCs w:val="20"/>
        </w:rPr>
        <w:t>•Adjusted EBITDA and non-GAAP net loss do not refl</w:t>
      </w:r>
      <w:r>
        <w:rPr>
          <w:rFonts w:eastAsia="Times New Roman"/>
          <w:color w:val="000000"/>
          <w:sz w:val="20"/>
          <w:szCs w:val="20"/>
        </w:rPr>
        <w:t>ect cash payments relating to fees incurred in connection with issuance of equity securities, restructuring, litigation and the prior-year Audit Committee investigation, such as litigation and investigation-related costs, costs associated with tax projects</w:t>
      </w:r>
      <w:r>
        <w:rPr>
          <w:rFonts w:eastAsia="Times New Roman"/>
          <w:color w:val="000000"/>
          <w:sz w:val="20"/>
          <w:szCs w:val="20"/>
        </w:rPr>
        <w:t>, audits and other professional, consulting or other fees incurred in connection with our prior-year audits and certain legal proceedings, all of which have represented a reduction in cash available to us;</w:t>
      </w:r>
    </w:p>
    <w:p w:rsidR="00000000" w:rsidRDefault="000242E9">
      <w:pPr>
        <w:jc w:val="center"/>
        <w:divId w:val="1325742230"/>
        <w:rPr>
          <w:rFonts w:eastAsia="Times New Roman"/>
        </w:rPr>
      </w:pPr>
      <w:r>
        <w:rPr>
          <w:rFonts w:eastAsia="Times New Roman"/>
          <w:color w:val="000000"/>
          <w:sz w:val="20"/>
          <w:szCs w:val="20"/>
        </w:rPr>
        <w:t>29</w:t>
      </w:r>
    </w:p>
    <w:p w:rsidR="00000000" w:rsidRDefault="000242E9">
      <w:pPr>
        <w:rPr>
          <w:rFonts w:eastAsia="Times New Roman"/>
        </w:rPr>
      </w:pPr>
      <w:r>
        <w:rPr>
          <w:rFonts w:eastAsia="Times New Roman"/>
        </w:rPr>
        <w:pict>
          <v:rect id="_x0000_i1056" style="width:0;height:1.5pt" o:hralign="center" o:hrstd="t" o:hr="t" fillcolor="#a0a0a0" stroked="f"/>
        </w:pict>
      </w:r>
    </w:p>
    <w:p w:rsidR="00000000" w:rsidRDefault="000242E9">
      <w:pPr>
        <w:jc w:val="both"/>
        <w:divId w:val="1385367535"/>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385367535"/>
        <w:rPr>
          <w:rFonts w:eastAsia="Times New Roman"/>
        </w:rPr>
      </w:pPr>
    </w:p>
    <w:p w:rsidR="00000000" w:rsidRDefault="000242E9">
      <w:pPr>
        <w:ind w:hanging="540"/>
        <w:jc w:val="both"/>
        <w:divId w:val="1936740784"/>
        <w:rPr>
          <w:rFonts w:eastAsia="Times New Roman"/>
        </w:rPr>
      </w:pPr>
      <w:r>
        <w:rPr>
          <w:rFonts w:eastAsia="Times New Roman"/>
          <w:color w:val="000000"/>
          <w:sz w:val="20"/>
          <w:szCs w:val="20"/>
        </w:rPr>
        <w:t xml:space="preserve">•Adjusted EBITDA and non-GAAP net loss do not consider the impact of stock-based compensation and similar arrangements that represent dilution to our existing stockholders; </w:t>
      </w:r>
    </w:p>
    <w:p w:rsidR="00000000" w:rsidRDefault="000242E9">
      <w:pPr>
        <w:ind w:hanging="540"/>
        <w:jc w:val="both"/>
        <w:divId w:val="2057580685"/>
        <w:rPr>
          <w:rFonts w:eastAsia="Times New Roman"/>
        </w:rPr>
      </w:pPr>
      <w:r>
        <w:rPr>
          <w:rFonts w:eastAsia="Times New Roman"/>
          <w:color w:val="000000"/>
          <w:sz w:val="20"/>
          <w:szCs w:val="20"/>
        </w:rPr>
        <w:t>•Adjusted EBIT</w:t>
      </w:r>
      <w:r>
        <w:rPr>
          <w:rFonts w:eastAsia="Times New Roman"/>
          <w:color w:val="000000"/>
          <w:sz w:val="20"/>
          <w:szCs w:val="20"/>
        </w:rPr>
        <w:t>DA and non-GAAP net loss do not consider impairment of goodwill, long-lived assets and right-of-use assets, which represents a decline in the value of our assets;</w:t>
      </w:r>
    </w:p>
    <w:p w:rsidR="00000000" w:rsidRDefault="000242E9">
      <w:pPr>
        <w:ind w:hanging="540"/>
        <w:jc w:val="both"/>
        <w:divId w:val="954598380"/>
        <w:rPr>
          <w:rFonts w:eastAsia="Times New Roman"/>
        </w:rPr>
      </w:pPr>
      <w:r>
        <w:rPr>
          <w:rFonts w:eastAsia="Times New Roman"/>
          <w:color w:val="000000"/>
          <w:sz w:val="20"/>
          <w:szCs w:val="20"/>
        </w:rPr>
        <w:t>•</w:t>
      </w:r>
      <w:r>
        <w:rPr>
          <w:rFonts w:eastAsia="Times New Roman"/>
          <w:color w:val="000000"/>
          <w:sz w:val="20"/>
          <w:szCs w:val="20"/>
        </w:rPr>
        <w:t>Adjusted EBITDA and non-GAAP net loss do not consider possible cash gains or losses related to our financing derivatives, warrants liability or investment in equity securities; and</w:t>
      </w:r>
    </w:p>
    <w:p w:rsidR="00000000" w:rsidRDefault="000242E9">
      <w:pPr>
        <w:ind w:hanging="540"/>
        <w:jc w:val="both"/>
        <w:divId w:val="1805392778"/>
        <w:rPr>
          <w:rFonts w:eastAsia="Times New Roman"/>
        </w:rPr>
      </w:pPr>
      <w:r>
        <w:rPr>
          <w:rFonts w:eastAsia="Times New Roman"/>
          <w:color w:val="000000"/>
          <w:sz w:val="20"/>
          <w:szCs w:val="20"/>
        </w:rPr>
        <w:t>•Other companies, including companies in our industry, may calculate any of</w:t>
      </w:r>
      <w:r>
        <w:rPr>
          <w:rFonts w:eastAsia="Times New Roman"/>
          <w:color w:val="000000"/>
          <w:sz w:val="20"/>
          <w:szCs w:val="20"/>
        </w:rPr>
        <w:t xml:space="preserve"> these non-GAAP financial measures differently, which reduces their usefulness as comparative measures.</w:t>
      </w:r>
    </w:p>
    <w:p w:rsidR="00000000" w:rsidRDefault="000242E9">
      <w:pPr>
        <w:jc w:val="both"/>
        <w:divId w:val="334501266"/>
        <w:rPr>
          <w:rFonts w:eastAsia="Times New Roman"/>
        </w:rPr>
      </w:pPr>
      <w:r>
        <w:rPr>
          <w:rFonts w:eastAsia="Times New Roman"/>
          <w:color w:val="000000"/>
          <w:sz w:val="20"/>
          <w:szCs w:val="20"/>
        </w:rPr>
        <w:t>Because of these and other limitations, you should consider Adjusted EBITDA and non-GAAP net loss alongside GAAP-based financial performance measures, i</w:t>
      </w:r>
      <w:r>
        <w:rPr>
          <w:rFonts w:eastAsia="Times New Roman"/>
          <w:color w:val="000000"/>
          <w:sz w:val="20"/>
          <w:szCs w:val="20"/>
        </w:rPr>
        <w:t>ncluding GAAP revenue and various cash flow metrics, net income (loss) and our other GAAP financial results. Management addresses the inherent limitations associated with using non-GAAP financial measures through disclosure of such limitations, presentatio</w:t>
      </w:r>
      <w:r>
        <w:rPr>
          <w:rFonts w:eastAsia="Times New Roman"/>
          <w:color w:val="000000"/>
          <w:sz w:val="20"/>
          <w:szCs w:val="20"/>
        </w:rPr>
        <w:t xml:space="preserve">n of our financial statements in accordance with GAAP and a reconciliation of Adjusted EBITDA and non-GAAP net loss to the most directly comparable GAAP measure, net income (loss). </w:t>
      </w:r>
    </w:p>
    <w:p w:rsidR="00000000" w:rsidRDefault="000242E9">
      <w:pPr>
        <w:jc w:val="both"/>
        <w:divId w:val="484862180"/>
        <w:rPr>
          <w:rFonts w:eastAsia="Times New Roman"/>
        </w:rPr>
      </w:pPr>
      <w:r>
        <w:rPr>
          <w:rFonts w:eastAsia="Times New Roman"/>
          <w:color w:val="000000"/>
          <w:sz w:val="20"/>
          <w:szCs w:val="20"/>
        </w:rPr>
        <w:t>Under our Notes, we are required to disclose Consolidated EBITDA, a non-GA</w:t>
      </w:r>
      <w:r>
        <w:rPr>
          <w:rFonts w:eastAsia="Times New Roman"/>
          <w:color w:val="000000"/>
          <w:sz w:val="20"/>
          <w:szCs w:val="20"/>
        </w:rPr>
        <w:t>AP financial measure, on a quarterly basis. Consolidated EBITDA, as defined for purposes of the Notes, was the same as Adjusted EBITDA as presented below.</w:t>
      </w:r>
    </w:p>
    <w:p w:rsidR="00000000" w:rsidRDefault="000242E9">
      <w:pPr>
        <w:jc w:val="both"/>
        <w:divId w:val="576595143"/>
        <w:rPr>
          <w:rFonts w:eastAsia="Times New Roman"/>
        </w:rPr>
      </w:pPr>
      <w:r>
        <w:rPr>
          <w:rFonts w:eastAsia="Times New Roman"/>
          <w:color w:val="000000"/>
          <w:sz w:val="20"/>
          <w:szCs w:val="20"/>
        </w:rPr>
        <w:t>The following table presents a reconciliation of net loss (GAAP) to Adjusted EBITDA for each of the p</w:t>
      </w:r>
      <w:r>
        <w:rPr>
          <w:rFonts w:eastAsia="Times New Roman"/>
          <w:color w:val="000000"/>
          <w:sz w:val="20"/>
          <w:szCs w:val="20"/>
        </w:rPr>
        <w:t xml:space="preserve">eriods identified: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01"/>
        <w:gridCol w:w="38"/>
        <w:gridCol w:w="110"/>
        <w:gridCol w:w="955"/>
        <w:gridCol w:w="36"/>
        <w:gridCol w:w="36"/>
        <w:gridCol w:w="36"/>
        <w:gridCol w:w="36"/>
        <w:gridCol w:w="110"/>
        <w:gridCol w:w="955"/>
        <w:gridCol w:w="36"/>
        <w:gridCol w:w="36"/>
        <w:gridCol w:w="36"/>
        <w:gridCol w:w="36"/>
        <w:gridCol w:w="110"/>
        <w:gridCol w:w="955"/>
        <w:gridCol w:w="36"/>
        <w:gridCol w:w="36"/>
        <w:gridCol w:w="36"/>
        <w:gridCol w:w="36"/>
        <w:gridCol w:w="110"/>
        <w:gridCol w:w="955"/>
        <w:gridCol w:w="36"/>
      </w:tblGrid>
      <w:tr w:rsidR="00000000">
        <w:trPr>
          <w:divId w:val="1773470735"/>
          <w:jc w:val="center"/>
        </w:trPr>
        <w:tc>
          <w:tcPr>
            <w:tcW w:w="50" w:type="pct"/>
            <w:vAlign w:val="center"/>
            <w:hideMark/>
          </w:tcPr>
          <w:p w:rsidR="00000000" w:rsidRDefault="000242E9">
            <w:pPr>
              <w:jc w:val="both"/>
              <w:rPr>
                <w:rFonts w:eastAsia="Times New Roman"/>
              </w:rPr>
            </w:pPr>
          </w:p>
        </w:tc>
        <w:tc>
          <w:tcPr>
            <w:tcW w:w="216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773470735"/>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1773470735"/>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17734707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Net loss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(34,706)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(317,606)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7734707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9,027 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8,175 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26,729 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23,176 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6,750 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Depreciation</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3,529 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3,336 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10,317 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9,447 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Amortization expense of finance leases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613 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1,209 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1,974 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Income tax provision (benefit)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552 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(838)</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(2,740)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EBITDA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8,851 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(262,598)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773470735"/>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Adjustments:</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773470735"/>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2,524 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3,013 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7,528 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14,270 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Investigation and audit related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4,176 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Private placement issuance cost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Settlement of certain litigation, net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73470735"/>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right-of-use and long-lived assets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73470735"/>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73470735"/>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73470735"/>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intangible asset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923292103"/>
              <w:rPr>
                <w:rFonts w:eastAsia="Times New Roman"/>
              </w:rPr>
            </w:pPr>
            <w:r>
              <w:rPr>
                <w:rFonts w:eastAsia="Times New Roman"/>
                <w:color w:val="000000"/>
                <w:sz w:val="18"/>
                <w:szCs w:val="18"/>
              </w:rPr>
              <w:t>Other income,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(4,072)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(6,385)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(12,506)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(5,469)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773470735"/>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Adjusted EBITDA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6,449 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22,918 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220092920"/>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Adjustments to other income, net reflect non-cash changes in the fair value of financing derivatives, warrants liability and equity se</w:t>
      </w:r>
      <w:r>
        <w:rPr>
          <w:rFonts w:eastAsia="Times New Roman"/>
          <w:i/>
          <w:iCs/>
          <w:color w:val="000000"/>
          <w:sz w:val="16"/>
          <w:szCs w:val="16"/>
        </w:rPr>
        <w:t>curities investment included in other income, net and certain legal expenses defined by the Notes and classified as general and administrative expenses on our Condensed Consolidated Statements of Operations and Comprehensive Loss. We sold our investment in</w:t>
      </w:r>
      <w:r>
        <w:rPr>
          <w:rFonts w:eastAsia="Times New Roman"/>
          <w:i/>
          <w:iCs/>
          <w:color w:val="000000"/>
          <w:sz w:val="16"/>
          <w:szCs w:val="16"/>
        </w:rPr>
        <w:t xml:space="preserve"> equity securities in 2019. </w:t>
      </w:r>
    </w:p>
    <w:p w:rsidR="00000000" w:rsidRDefault="000242E9">
      <w:pPr>
        <w:jc w:val="center"/>
        <w:divId w:val="1969045157"/>
        <w:rPr>
          <w:rFonts w:eastAsia="Times New Roman"/>
        </w:rPr>
      </w:pPr>
      <w:r>
        <w:rPr>
          <w:rFonts w:eastAsia="Times New Roman"/>
          <w:color w:val="000000"/>
          <w:sz w:val="20"/>
          <w:szCs w:val="20"/>
        </w:rPr>
        <w:t>30</w:t>
      </w:r>
    </w:p>
    <w:p w:rsidR="00000000" w:rsidRDefault="000242E9">
      <w:pPr>
        <w:rPr>
          <w:rFonts w:eastAsia="Times New Roman"/>
        </w:rPr>
      </w:pPr>
      <w:r>
        <w:rPr>
          <w:rFonts w:eastAsia="Times New Roman"/>
        </w:rPr>
        <w:pict>
          <v:rect id="_x0000_i1057" style="width:0;height:1.5pt" o:hralign="center" o:hrstd="t" o:hr="t" fillcolor="#a0a0a0" stroked="f"/>
        </w:pict>
      </w:r>
    </w:p>
    <w:p w:rsidR="00000000" w:rsidRDefault="000242E9">
      <w:pPr>
        <w:jc w:val="both"/>
        <w:divId w:val="1022437667"/>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022437667"/>
        <w:rPr>
          <w:rFonts w:eastAsia="Times New Roman"/>
        </w:rPr>
      </w:pPr>
    </w:p>
    <w:p w:rsidR="00000000" w:rsidRDefault="000242E9">
      <w:pPr>
        <w:jc w:val="both"/>
        <w:divId w:val="728502171"/>
        <w:rPr>
          <w:rFonts w:eastAsia="Times New Roman"/>
        </w:rPr>
      </w:pPr>
      <w:r>
        <w:rPr>
          <w:rFonts w:eastAsia="Times New Roman"/>
          <w:color w:val="000000"/>
          <w:sz w:val="20"/>
          <w:szCs w:val="20"/>
        </w:rPr>
        <w:t xml:space="preserve">The following table presents a reconciliation of net loss (GAAP) to non-GAAP net loss for each of the periods </w:t>
      </w:r>
      <w:r>
        <w:rPr>
          <w:rFonts w:eastAsia="Times New Roman"/>
          <w:color w:val="000000"/>
          <w:sz w:val="20"/>
          <w:szCs w:val="20"/>
        </w:rPr>
        <w:t>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01"/>
        <w:gridCol w:w="38"/>
        <w:gridCol w:w="110"/>
        <w:gridCol w:w="955"/>
        <w:gridCol w:w="36"/>
        <w:gridCol w:w="36"/>
        <w:gridCol w:w="36"/>
        <w:gridCol w:w="36"/>
        <w:gridCol w:w="110"/>
        <w:gridCol w:w="955"/>
        <w:gridCol w:w="36"/>
        <w:gridCol w:w="36"/>
        <w:gridCol w:w="36"/>
        <w:gridCol w:w="36"/>
        <w:gridCol w:w="110"/>
        <w:gridCol w:w="955"/>
        <w:gridCol w:w="36"/>
        <w:gridCol w:w="36"/>
        <w:gridCol w:w="36"/>
        <w:gridCol w:w="36"/>
        <w:gridCol w:w="110"/>
        <w:gridCol w:w="955"/>
        <w:gridCol w:w="36"/>
      </w:tblGrid>
      <w:tr w:rsidR="00000000">
        <w:trPr>
          <w:divId w:val="2041466340"/>
          <w:jc w:val="center"/>
        </w:trPr>
        <w:tc>
          <w:tcPr>
            <w:tcW w:w="50" w:type="pct"/>
            <w:vAlign w:val="center"/>
            <w:hideMark/>
          </w:tcPr>
          <w:p w:rsidR="00000000" w:rsidRDefault="000242E9">
            <w:pPr>
              <w:jc w:val="both"/>
              <w:rPr>
                <w:rFonts w:eastAsia="Times New Roman"/>
              </w:rPr>
            </w:pPr>
          </w:p>
        </w:tc>
        <w:tc>
          <w:tcPr>
            <w:tcW w:w="216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04146634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r>
      <w:tr w:rsidR="00000000">
        <w:trPr>
          <w:divId w:val="2041466340"/>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r>
      <w:tr w:rsidR="00000000">
        <w:trPr>
          <w:divId w:val="204146634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8"/>
                <w:szCs w:val="18"/>
              </w:rPr>
              <w:t>Net loss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(10,559)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(34,706)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b/>
                <w:bCs/>
                <w:color w:val="000000"/>
                <w:sz w:val="18"/>
                <w:szCs w:val="18"/>
              </w:rPr>
              <w:t>(317,606)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04146634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204146634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6,750 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6,970 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20,514 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23,151 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2,524 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3,013 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7,528 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14,270 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Restructuring</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2,270 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5,149 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 xml:space="preserve">Investigation and audit related </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980 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4,176 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Private placement issuance cost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(416)</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738 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Settlement of certain litigation, net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(2,100)</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2,900 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right-of-use and long-lived assets</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04146634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04146634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041466340"/>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2041466340"/>
          <w:jc w:val="center"/>
        </w:trPr>
        <w:tc>
          <w:tcPr>
            <w:tcW w:w="0" w:type="auto"/>
            <w:gridSpan w:val="3"/>
            <w:shd w:val="clear" w:color="auto" w:fill="CCEE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224,272 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FFFFFF"/>
            <w:tcMar>
              <w:top w:w="30" w:type="dxa"/>
              <w:left w:w="225" w:type="dxa"/>
              <w:bottom w:w="30" w:type="dxa"/>
              <w:right w:w="20" w:type="dxa"/>
            </w:tcMar>
            <w:vAlign w:val="bottom"/>
            <w:hideMark/>
          </w:tcPr>
          <w:p w:rsidR="00000000" w:rsidRDefault="000242E9">
            <w:pPr>
              <w:rPr>
                <w:rFonts w:eastAsia="Times New Roman"/>
              </w:rPr>
            </w:pPr>
            <w:r>
              <w:rPr>
                <w:rFonts w:eastAsia="Times New Roman"/>
                <w:color w:val="000000"/>
                <w:sz w:val="18"/>
                <w:szCs w:val="18"/>
              </w:rPr>
              <w:t>Impairment of intangible asset</w:t>
            </w: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17,308 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823088000"/>
              <w:rPr>
                <w:rFonts w:eastAsia="Times New Roman"/>
              </w:rPr>
            </w:pPr>
            <w:r>
              <w:rPr>
                <w:rFonts w:eastAsia="Times New Roman"/>
                <w:color w:val="000000"/>
                <w:sz w:val="18"/>
                <w:szCs w:val="18"/>
              </w:rPr>
              <w:t>Other income,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(4,072)</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(6,385)</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(12,506)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(5,469)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2041466340"/>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Non-GAAP 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(5,919)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(6,227)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(14,499)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(31,111)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1277561251"/>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Adjustments to other income, net reflect non-cash changes in the fair value of financing derivatives, warrants liability and equity securities investment included in other income, net and c</w:t>
      </w:r>
      <w:r>
        <w:rPr>
          <w:rFonts w:eastAsia="Times New Roman"/>
          <w:i/>
          <w:iCs/>
          <w:color w:val="000000"/>
          <w:sz w:val="16"/>
          <w:szCs w:val="16"/>
        </w:rPr>
        <w:t>ertain legal expenses defined by the Notes and classified as general and administrative expenses on our Condensed Consolidated Statements of Operations and Comprehensive Loss. We sold our investment in equity securities in 2019.</w:t>
      </w:r>
    </w:p>
    <w:p w:rsidR="00000000" w:rsidRDefault="000242E9">
      <w:pPr>
        <w:jc w:val="both"/>
        <w:divId w:val="930702520"/>
        <w:rPr>
          <w:rFonts w:eastAsia="Times New Roman"/>
        </w:rPr>
      </w:pPr>
      <w:r>
        <w:rPr>
          <w:rFonts w:eastAsia="Times New Roman"/>
          <w:b/>
          <w:bCs/>
          <w:color w:val="000000"/>
          <w:sz w:val="20"/>
          <w:szCs w:val="20"/>
        </w:rPr>
        <w:t>Liquidity and Capital Resou</w:t>
      </w:r>
      <w:r>
        <w:rPr>
          <w:rFonts w:eastAsia="Times New Roman"/>
          <w:b/>
          <w:bCs/>
          <w:color w:val="000000"/>
          <w:sz w:val="20"/>
          <w:szCs w:val="20"/>
        </w:rPr>
        <w:t>rces</w:t>
      </w:r>
    </w:p>
    <w:p w:rsidR="00000000" w:rsidRDefault="000242E9">
      <w:pPr>
        <w:jc w:val="both"/>
        <w:divId w:val="147092221"/>
        <w:rPr>
          <w:rFonts w:eastAsia="Times New Roman"/>
        </w:rPr>
      </w:pPr>
      <w:r>
        <w:rPr>
          <w:rFonts w:eastAsia="Times New Roman"/>
          <w:color w:val="000000"/>
          <w:sz w:val="20"/>
          <w:szCs w:val="20"/>
        </w:rPr>
        <w:t>The following table summarizes our cash flows for each of the periods identified: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41"/>
        <w:gridCol w:w="37"/>
        <w:gridCol w:w="36"/>
        <w:gridCol w:w="36"/>
        <w:gridCol w:w="36"/>
        <w:gridCol w:w="110"/>
        <w:gridCol w:w="933"/>
        <w:gridCol w:w="36"/>
        <w:gridCol w:w="36"/>
        <w:gridCol w:w="36"/>
        <w:gridCol w:w="36"/>
        <w:gridCol w:w="110"/>
        <w:gridCol w:w="933"/>
        <w:gridCol w:w="36"/>
        <w:gridCol w:w="36"/>
        <w:gridCol w:w="36"/>
        <w:gridCol w:w="36"/>
        <w:gridCol w:w="36"/>
        <w:gridCol w:w="36"/>
        <w:gridCol w:w="36"/>
      </w:tblGrid>
      <w:tr w:rsidR="00000000">
        <w:trPr>
          <w:divId w:val="1798840213"/>
          <w:jc w:val="center"/>
        </w:trPr>
        <w:tc>
          <w:tcPr>
            <w:tcW w:w="50" w:type="pct"/>
            <w:vAlign w:val="center"/>
            <w:hideMark/>
          </w:tcPr>
          <w:p w:rsidR="00000000" w:rsidRDefault="000242E9">
            <w:pPr>
              <w:jc w:val="both"/>
              <w:rPr>
                <w:rFonts w:eastAsia="Times New Roman"/>
              </w:rPr>
            </w:pPr>
          </w:p>
        </w:tc>
        <w:tc>
          <w:tcPr>
            <w:tcW w:w="3542"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618"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9"/>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c>
          <w:tcPr>
            <w:tcW w:w="0" w:type="auto"/>
            <w:vAlign w:val="center"/>
            <w:hideMark/>
          </w:tcPr>
          <w:p w:rsidR="00000000" w:rsidRDefault="000242E9">
            <w:pPr>
              <w:rPr>
                <w:rFonts w:eastAsia="Times New Roman"/>
                <w:sz w:val="20"/>
                <w:szCs w:val="20"/>
              </w:rPr>
            </w:pPr>
          </w:p>
        </w:tc>
      </w:tr>
      <w:tr w:rsidR="00000000">
        <w:trPr>
          <w:divId w:val="1798840213"/>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0242E9">
            <w:pPr>
              <w:jc w:val="center"/>
              <w:rPr>
                <w:rFonts w:eastAsia="Times New Roman"/>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(11,628)</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(7,834)</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(1,476)</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19,908 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8 </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(658)</w:t>
            </w:r>
          </w:p>
        </w:tc>
        <w:tc>
          <w:tcPr>
            <w:tcW w:w="0" w:type="auto"/>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divId w:val="179884021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Net (decrease) increase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(14,939)</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8,292 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vAlign w:val="center"/>
            <w:hideMark/>
          </w:tcPr>
          <w:p w:rsidR="00000000" w:rsidRDefault="000242E9">
            <w:pPr>
              <w:jc w:val="right"/>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bl>
    <w:p w:rsidR="00000000" w:rsidRDefault="000242E9">
      <w:pPr>
        <w:jc w:val="both"/>
        <w:divId w:val="823200850"/>
        <w:rPr>
          <w:rFonts w:eastAsia="Times New Roman"/>
        </w:rPr>
      </w:pPr>
      <w:r>
        <w:rPr>
          <w:rFonts w:eastAsia="Times New Roman"/>
          <w:color w:val="000000"/>
          <w:sz w:val="20"/>
          <w:szCs w:val="20"/>
        </w:rPr>
        <w:t>Our principal uses of cash consist of cash paid for data, payroll and other operating expenses, payments related to investments in equipment, primarily to support our consumer panels and technical infrastructure required to deliver our products and service</w:t>
      </w:r>
      <w:r>
        <w:rPr>
          <w:rFonts w:eastAsia="Times New Roman"/>
          <w:color w:val="000000"/>
          <w:sz w:val="20"/>
          <w:szCs w:val="20"/>
        </w:rPr>
        <w:t>s and support our customers, and service of our debt and lease facilities. In prior years, we incurred significant professional fees relating to our Audit Committee's investigation, subsequent audit and compliance efforts, as well as management changes and</w:t>
      </w:r>
      <w:r>
        <w:rPr>
          <w:rFonts w:eastAsia="Times New Roman"/>
          <w:color w:val="000000"/>
          <w:sz w:val="20"/>
          <w:szCs w:val="20"/>
        </w:rPr>
        <w:t xml:space="preserve"> various legal proceedings.</w:t>
      </w:r>
    </w:p>
    <w:p w:rsidR="00000000" w:rsidRDefault="000242E9">
      <w:pPr>
        <w:jc w:val="both"/>
        <w:divId w:val="1047605985"/>
        <w:rPr>
          <w:rFonts w:eastAsia="Times New Roman"/>
        </w:rPr>
      </w:pPr>
      <w:r>
        <w:rPr>
          <w:rFonts w:eastAsia="Times New Roman"/>
          <w:color w:val="000000"/>
          <w:sz w:val="20"/>
          <w:szCs w:val="20"/>
        </w:rPr>
        <w:t xml:space="preserve">As of September 30, 2020, our principal sources of liquidity consisted of cash, cash equivalents and restricted cash totaling $51.8 million, including $19.6 million in restricted cash. </w:t>
      </w:r>
    </w:p>
    <w:p w:rsidR="00000000" w:rsidRDefault="000242E9">
      <w:pPr>
        <w:jc w:val="both"/>
        <w:divId w:val="2131706993"/>
        <w:rPr>
          <w:rFonts w:eastAsia="Times New Roman"/>
        </w:rPr>
      </w:pPr>
      <w:r>
        <w:rPr>
          <w:rFonts w:eastAsia="Times New Roman"/>
          <w:color w:val="000000"/>
          <w:sz w:val="20"/>
          <w:szCs w:val="20"/>
        </w:rPr>
        <w:t>Our principal sources of liquidity have hi</w:t>
      </w:r>
      <w:r>
        <w:rPr>
          <w:rFonts w:eastAsia="Times New Roman"/>
          <w:color w:val="000000"/>
          <w:sz w:val="20"/>
          <w:szCs w:val="20"/>
        </w:rPr>
        <w:t>storically been our cash and cash equivalents, as well as cash flow generated from our operations. Our operating losses, including the significant investigation and audit costs in prior years, resulted in a need to secure long-term financing. In 2018, we e</w:t>
      </w:r>
      <w:r>
        <w:rPr>
          <w:rFonts w:eastAsia="Times New Roman"/>
          <w:color w:val="000000"/>
          <w:sz w:val="20"/>
          <w:szCs w:val="20"/>
        </w:rPr>
        <w:t xml:space="preserve">ntered into agreements with funds affiliated with or managed by Starboard Value LP (collectively, "Starboard"), pursuant to which we issued and sold to Starboard a total of $204.0 million in Notes as well as warrants to purchase shares of our Common Stock </w:t>
      </w:r>
      <w:r>
        <w:rPr>
          <w:rFonts w:eastAsia="Times New Roman"/>
          <w:color w:val="000000"/>
          <w:sz w:val="20"/>
          <w:szCs w:val="20"/>
        </w:rPr>
        <w:t>in exchange for $100.0 million in cash and 4,000,000 shares of Common Stock. See "Senior Secured Convertible Notes" below.</w:t>
      </w:r>
    </w:p>
    <w:p w:rsidR="00000000" w:rsidRDefault="000242E9">
      <w:pPr>
        <w:jc w:val="both"/>
        <w:divId w:val="795952943"/>
        <w:rPr>
          <w:rFonts w:eastAsia="Times New Roman"/>
        </w:rPr>
      </w:pPr>
      <w:r>
        <w:rPr>
          <w:rFonts w:eastAsia="Times New Roman"/>
          <w:color w:val="000000"/>
          <w:sz w:val="20"/>
          <w:szCs w:val="20"/>
        </w:rPr>
        <w:t>In June 2019, we issued 2,728,513 shares of our Common Stock and four series of warrants in a private placement to CVI Investments, I</w:t>
      </w:r>
      <w:r>
        <w:rPr>
          <w:rFonts w:eastAsia="Times New Roman"/>
          <w:color w:val="000000"/>
          <w:sz w:val="20"/>
          <w:szCs w:val="20"/>
        </w:rPr>
        <w:t>nc. ("CVI") in exchange for gross cash proceeds of $20.0 million. See "Sale of Common Stock and Warrants" below.</w:t>
      </w:r>
    </w:p>
    <w:p w:rsidR="00000000" w:rsidRDefault="000242E9">
      <w:pPr>
        <w:jc w:val="both"/>
        <w:divId w:val="1820615669"/>
        <w:rPr>
          <w:rFonts w:eastAsia="Times New Roman"/>
        </w:rPr>
      </w:pPr>
      <w:r>
        <w:rPr>
          <w:rFonts w:eastAsia="Times New Roman"/>
          <w:color w:val="000000"/>
          <w:sz w:val="20"/>
          <w:szCs w:val="20"/>
        </w:rPr>
        <w:t>In December 2019, we issued a Secured Term Note for gross cash proceeds of $13.0 million. See "Secured Term Note" below.</w:t>
      </w:r>
    </w:p>
    <w:p w:rsidR="00000000" w:rsidRDefault="000242E9">
      <w:pPr>
        <w:jc w:val="both"/>
        <w:divId w:val="1505590020"/>
        <w:rPr>
          <w:rFonts w:eastAsia="Times New Roman"/>
        </w:rPr>
      </w:pPr>
      <w:r>
        <w:rPr>
          <w:rFonts w:eastAsia="Times New Roman"/>
          <w:color w:val="000000"/>
          <w:sz w:val="20"/>
          <w:szCs w:val="20"/>
        </w:rPr>
        <w:t>In January 2020, April 2020 and July 2020, we paid our quarterly accrued interest liability of $6.1 million on the Notes in cash. The interest amount was recognized in accrued expenses as of December 31, 2019, March 31, 2020 and June 30, 2020, respectively</w:t>
      </w:r>
      <w:r>
        <w:rPr>
          <w:rFonts w:eastAsia="Times New Roman"/>
          <w:color w:val="000000"/>
          <w:sz w:val="20"/>
          <w:szCs w:val="20"/>
        </w:rPr>
        <w:t>. In October 2020, we paid our quarterly accrued interest liability of $6.1 million through the issuance of 1,474,201 shares of Common Stock ("PIK Interest Shares") and $3.1 million in cash. Liabilities pertaining to the cash payment and issuance of PIK In</w:t>
      </w:r>
      <w:r>
        <w:rPr>
          <w:rFonts w:eastAsia="Times New Roman"/>
          <w:color w:val="000000"/>
          <w:sz w:val="20"/>
          <w:szCs w:val="20"/>
        </w:rPr>
        <w:t>terest Shares were classified within accrued expenses and other non-current liabilities, respectively, within the Condensed Consolidated Financial Statements as of September 30, 2020.</w:t>
      </w:r>
    </w:p>
    <w:p w:rsidR="00000000" w:rsidRDefault="000242E9">
      <w:pPr>
        <w:jc w:val="both"/>
        <w:divId w:val="1896963998"/>
        <w:rPr>
          <w:rFonts w:eastAsia="Times New Roman"/>
        </w:rPr>
      </w:pPr>
      <w:r>
        <w:rPr>
          <w:rFonts w:eastAsia="Times New Roman"/>
          <w:color w:val="000000"/>
          <w:sz w:val="20"/>
          <w:szCs w:val="20"/>
        </w:rPr>
        <w:t>The COVID-19 pandemic and related government mandates and restrictions h</w:t>
      </w:r>
      <w:r>
        <w:rPr>
          <w:rFonts w:eastAsia="Times New Roman"/>
          <w:color w:val="000000"/>
          <w:sz w:val="20"/>
          <w:szCs w:val="20"/>
        </w:rPr>
        <w:t xml:space="preserve">ave had a significant impact on the media, advertising and entertainment industries in which we operate. To date, the COVID-19 pandemic has had some impact on our business, including </w:t>
      </w:r>
    </w:p>
    <w:p w:rsidR="00000000" w:rsidRDefault="000242E9">
      <w:pPr>
        <w:jc w:val="center"/>
        <w:divId w:val="1108310057"/>
        <w:rPr>
          <w:rFonts w:eastAsia="Times New Roman"/>
        </w:rPr>
      </w:pPr>
      <w:r>
        <w:rPr>
          <w:rFonts w:eastAsia="Times New Roman"/>
          <w:color w:val="000000"/>
          <w:sz w:val="20"/>
          <w:szCs w:val="20"/>
        </w:rPr>
        <w:t>31</w:t>
      </w:r>
    </w:p>
    <w:p w:rsidR="00000000" w:rsidRDefault="000242E9">
      <w:pPr>
        <w:rPr>
          <w:rFonts w:eastAsia="Times New Roman"/>
        </w:rPr>
      </w:pPr>
      <w:r>
        <w:rPr>
          <w:rFonts w:eastAsia="Times New Roman"/>
        </w:rPr>
        <w:pict>
          <v:rect id="_x0000_i1058" style="width:0;height:1.5pt" o:hralign="center" o:hrstd="t" o:hr="t" fillcolor="#a0a0a0" stroked="f"/>
        </w:pict>
      </w:r>
    </w:p>
    <w:p w:rsidR="00000000" w:rsidRDefault="000242E9">
      <w:pPr>
        <w:jc w:val="both"/>
        <w:divId w:val="58190889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581908894"/>
        <w:rPr>
          <w:rFonts w:eastAsia="Times New Roman"/>
        </w:rPr>
      </w:pPr>
    </w:p>
    <w:p w:rsidR="00000000" w:rsidRDefault="000242E9">
      <w:pPr>
        <w:jc w:val="both"/>
        <w:divId w:val="2099208202"/>
        <w:rPr>
          <w:rFonts w:eastAsia="Times New Roman"/>
        </w:rPr>
      </w:pPr>
      <w:r>
        <w:rPr>
          <w:rFonts w:eastAsia="Times New Roman"/>
          <w:color w:val="000000"/>
          <w:sz w:val="20"/>
          <w:szCs w:val="20"/>
        </w:rPr>
        <w:t xml:space="preserve">with respect to the execution of new and renewal contracts, the impact of closed movie theaters on our customers, customer payment delays and </w:t>
      </w:r>
      <w:r>
        <w:rPr>
          <w:rFonts w:eastAsia="Times New Roman"/>
          <w:color w:val="000000"/>
          <w:sz w:val="20"/>
          <w:szCs w:val="20"/>
        </w:rPr>
        <w:t>requests to modify contractual payment terms. These conditions have negatively impacted our liquidity and cash flows and are expected to continue to have an impact in future periods. In the second quarter of 2020, we continued to see delays in cash collect</w:t>
      </w:r>
      <w:r>
        <w:rPr>
          <w:rFonts w:eastAsia="Times New Roman"/>
          <w:color w:val="000000"/>
          <w:sz w:val="20"/>
          <w:szCs w:val="20"/>
        </w:rPr>
        <w:t>ions, leading our management team to take actions to mitigate the near-term impact on our liquidity. These actions, which continued into the third quarter of 2020, included freezing hiring, exiting non-critical consultants and contractors, terminating or n</w:t>
      </w:r>
      <w:r>
        <w:rPr>
          <w:rFonts w:eastAsia="Times New Roman"/>
          <w:color w:val="000000"/>
          <w:sz w:val="20"/>
          <w:szCs w:val="20"/>
        </w:rPr>
        <w:t>egotiating reductions in vendor agreements and leases, reducing compensation for our senior leadership team and board of directors, and reducing certain travel, marketing, recruiting and other corporate activities not deemed critical to the business in the</w:t>
      </w:r>
      <w:r>
        <w:rPr>
          <w:rFonts w:eastAsia="Times New Roman"/>
          <w:color w:val="000000"/>
          <w:sz w:val="20"/>
          <w:szCs w:val="20"/>
        </w:rPr>
        <w:t xml:space="preserve"> current environment. Management continues to monitor our liquidity and cash flows and will re-evaluate these actions as appropriate.</w:t>
      </w:r>
    </w:p>
    <w:p w:rsidR="00000000" w:rsidRDefault="000242E9">
      <w:pPr>
        <w:jc w:val="both"/>
        <w:divId w:val="238491373"/>
        <w:rPr>
          <w:rFonts w:eastAsia="Times New Roman"/>
        </w:rPr>
      </w:pPr>
      <w:r>
        <w:rPr>
          <w:rFonts w:eastAsia="Times New Roman"/>
          <w:color w:val="000000"/>
          <w:sz w:val="20"/>
          <w:szCs w:val="20"/>
        </w:rPr>
        <w:t>In addition to its impact on operations, the spread of COVID-19 has led to disruption and volatility in global capital and</w:t>
      </w:r>
      <w:r>
        <w:rPr>
          <w:rFonts w:eastAsia="Times New Roman"/>
          <w:color w:val="000000"/>
          <w:sz w:val="20"/>
          <w:szCs w:val="20"/>
        </w:rPr>
        <w:t xml:space="preserve"> credit markets. This disruption could impact our ability to access capital resources on terms acceptable to us or allowable under applicable financing arrangements. </w:t>
      </w:r>
    </w:p>
    <w:p w:rsidR="00000000" w:rsidRDefault="000242E9">
      <w:pPr>
        <w:jc w:val="both"/>
        <w:divId w:val="386957109"/>
        <w:rPr>
          <w:rFonts w:eastAsia="Times New Roman"/>
        </w:rPr>
      </w:pPr>
      <w:r>
        <w:rPr>
          <w:rFonts w:eastAsia="Times New Roman"/>
          <w:color w:val="000000"/>
          <w:sz w:val="20"/>
          <w:szCs w:val="20"/>
        </w:rPr>
        <w:t>On March 27, 2020, Congress enacted the Coronavirus Aid, Relief and Economic Security Act</w:t>
      </w:r>
      <w:r>
        <w:rPr>
          <w:rFonts w:eastAsia="Times New Roman"/>
          <w:color w:val="000000"/>
          <w:sz w:val="20"/>
          <w:szCs w:val="20"/>
        </w:rPr>
        <w:t xml:space="preserve"> ("CARES Act"). The CARES Act, among other things, includes tax provisions for the deferral of certain employer payroll tax liabilities, refundable employee retention credits, rollbacks of Tax Cuts and Jobs Act limitations on net operating losses, the acce</w:t>
      </w:r>
      <w:r>
        <w:rPr>
          <w:rFonts w:eastAsia="Times New Roman"/>
          <w:color w:val="000000"/>
          <w:sz w:val="20"/>
          <w:szCs w:val="20"/>
        </w:rPr>
        <w:t>leration of alternative minimum tax credit refunds, modifications to the net interest deduction limitations and technical corrections to tax depreciation methods for qualified improvement property. We began deferring certain payroll taxes in April 2020, as</w:t>
      </w:r>
      <w:r>
        <w:rPr>
          <w:rFonts w:eastAsia="Times New Roman"/>
          <w:color w:val="000000"/>
          <w:sz w:val="20"/>
          <w:szCs w:val="20"/>
        </w:rPr>
        <w:t xml:space="preserve"> permitted by the CARES Act. In addition, during the second quarter of 2020, we claimed the refundable employee retention credit created by the CARES Act. We continue to evaluate the impact of the CARES Act and additional legislation and government guidanc</w:t>
      </w:r>
      <w:r>
        <w:rPr>
          <w:rFonts w:eastAsia="Times New Roman"/>
          <w:color w:val="000000"/>
          <w:sz w:val="20"/>
          <w:szCs w:val="20"/>
        </w:rPr>
        <w:t>e related to the COVID-19 pandemic on our business operations and financial results.</w:t>
      </w:r>
    </w:p>
    <w:p w:rsidR="00000000" w:rsidRDefault="000242E9">
      <w:pPr>
        <w:jc w:val="both"/>
        <w:divId w:val="1355686856"/>
        <w:rPr>
          <w:rFonts w:eastAsia="Times New Roman"/>
        </w:rPr>
      </w:pPr>
      <w:r>
        <w:rPr>
          <w:rFonts w:eastAsia="Times New Roman"/>
          <w:color w:val="000000"/>
          <w:sz w:val="20"/>
          <w:szCs w:val="20"/>
        </w:rPr>
        <w:t>Our liquidity could be negatively affected by a decrease in demand for our products and services or by additional losses from operations, as well as payment of expenses in</w:t>
      </w:r>
      <w:r>
        <w:rPr>
          <w:rFonts w:eastAsia="Times New Roman"/>
          <w:color w:val="000000"/>
          <w:sz w:val="20"/>
          <w:szCs w:val="20"/>
        </w:rPr>
        <w:t>curred in prior periods in addition to current period expenses. It is possible that long-term changes in consumer behavior will impact our customers' operations, and thus their demand for our services and ability to pay, even after the spread of COVID-19 h</w:t>
      </w:r>
      <w:r>
        <w:rPr>
          <w:rFonts w:eastAsia="Times New Roman"/>
          <w:color w:val="000000"/>
          <w:sz w:val="20"/>
          <w:szCs w:val="20"/>
        </w:rPr>
        <w:t>as been contained and businesses are permitted to resume normal operations. While we are taking actions (as described above) to mitigate the impact of the COVID-19 pandemic, control costs and improve our working capital balance, these steps may not be succ</w:t>
      </w:r>
      <w:r>
        <w:rPr>
          <w:rFonts w:eastAsia="Times New Roman"/>
          <w:color w:val="000000"/>
          <w:sz w:val="20"/>
          <w:szCs w:val="20"/>
        </w:rPr>
        <w:t>essful or adequate to offset future declines. If our efforts to control costs are not sufficient, or if customer demand or cash collection efforts are further impacted by the COVID-19 pandemic, we may not be able to maintain our compliance with the affirma</w:t>
      </w:r>
      <w:r>
        <w:rPr>
          <w:rFonts w:eastAsia="Times New Roman"/>
          <w:color w:val="000000"/>
          <w:sz w:val="20"/>
          <w:szCs w:val="20"/>
        </w:rPr>
        <w:t xml:space="preserve">tive and negative covenants in our Notes and Secured Term Note or to meet our financial obligations to our vendors or others. </w:t>
      </w:r>
    </w:p>
    <w:p w:rsidR="00000000" w:rsidRDefault="000242E9">
      <w:pPr>
        <w:jc w:val="both"/>
        <w:divId w:val="1132558672"/>
        <w:rPr>
          <w:rFonts w:eastAsia="Times New Roman"/>
        </w:rPr>
      </w:pPr>
      <w:r>
        <w:rPr>
          <w:rFonts w:eastAsia="Times New Roman"/>
          <w:color w:val="000000"/>
          <w:sz w:val="20"/>
          <w:szCs w:val="20"/>
        </w:rPr>
        <w:t>Our liquidity could be significantly affected if we are unable to maintain compliance with the covenants in our Notes and Secured</w:t>
      </w:r>
      <w:r>
        <w:rPr>
          <w:rFonts w:eastAsia="Times New Roman"/>
          <w:color w:val="000000"/>
          <w:sz w:val="20"/>
          <w:szCs w:val="20"/>
        </w:rPr>
        <w:t xml:space="preserve"> Term Note, including the minimum cash balance requirements described in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Long-term Debt, </w:t>
      </w:r>
      <w:r>
        <w:rPr>
          <w:rFonts w:eastAsia="Times New Roman"/>
          <w:color w:val="000000"/>
          <w:sz w:val="20"/>
          <w:szCs w:val="20"/>
        </w:rPr>
        <w:t xml:space="preserve">to our Condensed Consolidated Financial Statements. If we fail to comply with our covenants, we </w:t>
      </w:r>
      <w:r>
        <w:rPr>
          <w:rFonts w:eastAsia="Times New Roman"/>
          <w:color w:val="000000"/>
          <w:sz w:val="20"/>
          <w:szCs w:val="20"/>
        </w:rPr>
        <w:t>could be required to redeem the Notes and the Secured Term Note at a premium. As of September 30, 2020, there was $217.0 million outstanding under the Notes and the Secured Term Note. The source of funds for any redemption of our debt would be our availabl</w:t>
      </w:r>
      <w:r>
        <w:rPr>
          <w:rFonts w:eastAsia="Times New Roman"/>
          <w:color w:val="000000"/>
          <w:sz w:val="20"/>
          <w:szCs w:val="20"/>
        </w:rPr>
        <w:t>e cash and other financing, to the extent available. Based on our current plans, including continued cost management and other actions within management's control, we do not anticipate a breach of these covenants that would result in an event of default un</w:t>
      </w:r>
      <w:r>
        <w:rPr>
          <w:rFonts w:eastAsia="Times New Roman"/>
          <w:color w:val="000000"/>
          <w:sz w:val="20"/>
          <w:szCs w:val="20"/>
        </w:rPr>
        <w:t>der the Notes or the Secured Term Note; however, during the quarter ended June 30, 2020, the holders of the Notes questioned our compliance with the minimum cash balance requirements therein. As noted, any breach of covenants under the Notes could have a m</w:t>
      </w:r>
      <w:r>
        <w:rPr>
          <w:rFonts w:eastAsia="Times New Roman"/>
          <w:color w:val="000000"/>
          <w:sz w:val="20"/>
          <w:szCs w:val="20"/>
        </w:rPr>
        <w:t>aterial impact on our liquidity.</w:t>
      </w:r>
    </w:p>
    <w:p w:rsidR="00000000" w:rsidRDefault="000242E9">
      <w:pPr>
        <w:jc w:val="both"/>
        <w:divId w:val="674184110"/>
        <w:rPr>
          <w:rFonts w:eastAsia="Times New Roman"/>
        </w:rPr>
      </w:pPr>
      <w:r>
        <w:rPr>
          <w:rFonts w:eastAsia="Times New Roman"/>
          <w:color w:val="000000"/>
          <w:sz w:val="20"/>
          <w:szCs w:val="20"/>
        </w:rPr>
        <w:t xml:space="preserve">We continue to be focused on maintaining flexibility in terms of sources, amounts and the timing of any potential financing, refinancing or strategic transaction in order to best position the Company for future success. We </w:t>
      </w:r>
      <w:r>
        <w:rPr>
          <w:rFonts w:eastAsia="Times New Roman"/>
          <w:color w:val="000000"/>
          <w:sz w:val="20"/>
          <w:szCs w:val="20"/>
        </w:rPr>
        <w:t>believe that our sources of funding, after taking into account the actions described above, will be sufficient to satisfy our currently anticipated requirements for at least the next 12 months. However, we cannot predict with certainty the outcome of our a</w:t>
      </w:r>
      <w:r>
        <w:rPr>
          <w:rFonts w:eastAsia="Times New Roman"/>
          <w:color w:val="000000"/>
          <w:sz w:val="20"/>
          <w:szCs w:val="20"/>
        </w:rPr>
        <w:t>ctions to generate liquidity, including the availability of additional financing. We also cannot predict the duration and magnitude of the COVID-19 pandemic or its ultimate effects on our business or liquidity or any action that may be taken by the holders</w:t>
      </w:r>
      <w:r>
        <w:rPr>
          <w:rFonts w:eastAsia="Times New Roman"/>
          <w:color w:val="000000"/>
          <w:sz w:val="20"/>
          <w:szCs w:val="20"/>
        </w:rPr>
        <w:t xml:space="preserve"> of the Notes.</w:t>
      </w:r>
    </w:p>
    <w:p w:rsidR="00000000" w:rsidRDefault="000242E9">
      <w:pPr>
        <w:jc w:val="both"/>
        <w:divId w:val="639263261"/>
        <w:rPr>
          <w:rFonts w:eastAsia="Times New Roman"/>
        </w:rPr>
      </w:pPr>
      <w:r>
        <w:rPr>
          <w:rFonts w:eastAsia="Times New Roman"/>
          <w:color w:val="000000"/>
          <w:sz w:val="20"/>
          <w:szCs w:val="20"/>
        </w:rPr>
        <w:t>On November 9, 2020, we confirmed that we were in advanced discussions with respect to a recapitalization transaction with an anchor investor. The transaction, if consummated, would result in a significant reduction in our outstanding indebt</w:t>
      </w:r>
      <w:r>
        <w:rPr>
          <w:rFonts w:eastAsia="Times New Roman"/>
          <w:color w:val="000000"/>
          <w:sz w:val="20"/>
          <w:szCs w:val="20"/>
        </w:rPr>
        <w:t>edness and would provide for enhanced commercial relationships to support our growth initiatives. There can be no assurances regarding the timing of any action or transaction nor that our strategic review process will result in any particular outcome, incl</w:t>
      </w:r>
      <w:r>
        <w:rPr>
          <w:rFonts w:eastAsia="Times New Roman"/>
          <w:color w:val="000000"/>
          <w:sz w:val="20"/>
          <w:szCs w:val="20"/>
        </w:rPr>
        <w:t xml:space="preserve">uding the transaction described in this paragraph. </w:t>
      </w:r>
    </w:p>
    <w:p w:rsidR="00000000" w:rsidRDefault="000242E9">
      <w:pPr>
        <w:jc w:val="both"/>
        <w:divId w:val="181483220"/>
        <w:rPr>
          <w:rFonts w:eastAsia="Times New Roman"/>
        </w:rPr>
      </w:pPr>
      <w:r>
        <w:rPr>
          <w:rFonts w:eastAsia="Times New Roman"/>
          <w:color w:val="000000"/>
          <w:sz w:val="20"/>
          <w:szCs w:val="20"/>
          <w:u w:val="single"/>
        </w:rPr>
        <w:t>Restricted Cash</w:t>
      </w:r>
    </w:p>
    <w:p w:rsidR="00000000" w:rsidRDefault="000242E9">
      <w:pPr>
        <w:jc w:val="both"/>
        <w:divId w:val="241448934"/>
        <w:rPr>
          <w:rFonts w:eastAsia="Times New Roman"/>
        </w:rPr>
      </w:pPr>
      <w:r>
        <w:rPr>
          <w:rFonts w:eastAsia="Times New Roman"/>
          <w:color w:val="000000"/>
          <w:sz w:val="20"/>
          <w:szCs w:val="20"/>
        </w:rPr>
        <w:t xml:space="preserve">Restricted cash represents our requirement to collateralize the Secured Term Note, outstanding letters of credit, international payroll processing exposures and lines of credit related to </w:t>
      </w:r>
      <w:r>
        <w:rPr>
          <w:rFonts w:eastAsia="Times New Roman"/>
          <w:color w:val="000000"/>
          <w:sz w:val="20"/>
          <w:szCs w:val="20"/>
        </w:rPr>
        <w:t>certain of our corporate credit card programs and international payroll processing exposures. As of September 30, 2020 and December 31, 2019, we had $19.6 million and $20.2 million of restricted cash, respectively.</w:t>
      </w:r>
    </w:p>
    <w:p w:rsidR="00000000" w:rsidRDefault="000242E9">
      <w:pPr>
        <w:jc w:val="center"/>
        <w:divId w:val="118959495"/>
        <w:rPr>
          <w:rFonts w:eastAsia="Times New Roman"/>
        </w:rPr>
      </w:pPr>
      <w:r>
        <w:rPr>
          <w:rFonts w:eastAsia="Times New Roman"/>
          <w:color w:val="000000"/>
          <w:sz w:val="20"/>
          <w:szCs w:val="20"/>
        </w:rPr>
        <w:t>32</w:t>
      </w:r>
    </w:p>
    <w:p w:rsidR="00000000" w:rsidRDefault="000242E9">
      <w:pPr>
        <w:rPr>
          <w:rFonts w:eastAsia="Times New Roman"/>
        </w:rPr>
      </w:pPr>
      <w:r>
        <w:rPr>
          <w:rFonts w:eastAsia="Times New Roman"/>
        </w:rPr>
        <w:pict>
          <v:rect id="_x0000_i1059" style="width:0;height:1.5pt" o:hralign="center" o:hrstd="t" o:hr="t" fillcolor="#a0a0a0" stroked="f"/>
        </w:pict>
      </w:r>
    </w:p>
    <w:p w:rsidR="00000000" w:rsidRDefault="000242E9">
      <w:pPr>
        <w:jc w:val="both"/>
        <w:divId w:val="229196387"/>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29196387"/>
        <w:rPr>
          <w:rFonts w:eastAsia="Times New Roman"/>
        </w:rPr>
      </w:pPr>
    </w:p>
    <w:p w:rsidR="00000000" w:rsidRDefault="000242E9">
      <w:pPr>
        <w:jc w:val="both"/>
        <w:divId w:val="1665359964"/>
        <w:rPr>
          <w:rFonts w:eastAsia="Times New Roman"/>
        </w:rPr>
      </w:pPr>
      <w:r>
        <w:rPr>
          <w:rFonts w:eastAsia="Times New Roman"/>
          <w:color w:val="000000"/>
          <w:sz w:val="20"/>
          <w:szCs w:val="20"/>
          <w:u w:val="single"/>
        </w:rPr>
        <w:t>Letters of Credit</w:t>
      </w:r>
    </w:p>
    <w:p w:rsidR="00000000" w:rsidRDefault="000242E9">
      <w:pPr>
        <w:jc w:val="both"/>
        <w:divId w:val="1329291606"/>
        <w:rPr>
          <w:rFonts w:eastAsia="Times New Roman"/>
        </w:rPr>
      </w:pPr>
      <w:r>
        <w:rPr>
          <w:rFonts w:eastAsia="Times New Roman"/>
          <w:color w:val="000000"/>
          <w:sz w:val="20"/>
          <w:szCs w:val="20"/>
        </w:rPr>
        <w:t>In 2018, we entered into a Security Agreement with Wells Fargo Bank, N.A. to issue standby letters of credit on our behalf. As of September 30, 2020, $3.3 million</w:t>
      </w:r>
      <w:r>
        <w:rPr>
          <w:rFonts w:eastAsia="Times New Roman"/>
          <w:color w:val="000000"/>
          <w:sz w:val="20"/>
          <w:szCs w:val="20"/>
        </w:rPr>
        <w:t xml:space="preserve"> in letters of credit are outstanding and are cash collateralized under the Security Agreement with Wells Fargo Bank, N.A.</w:t>
      </w:r>
    </w:p>
    <w:p w:rsidR="00000000" w:rsidRDefault="000242E9">
      <w:pPr>
        <w:jc w:val="both"/>
        <w:divId w:val="932973801"/>
        <w:rPr>
          <w:rFonts w:eastAsia="Times New Roman"/>
        </w:rPr>
      </w:pPr>
      <w:r>
        <w:rPr>
          <w:rFonts w:eastAsia="Times New Roman"/>
          <w:color w:val="000000"/>
          <w:sz w:val="20"/>
          <w:szCs w:val="20"/>
          <w:u w:val="single"/>
        </w:rPr>
        <w:t>Issuance and Sale of Common Stock and Warrants</w:t>
      </w:r>
    </w:p>
    <w:p w:rsidR="00000000" w:rsidRDefault="000242E9">
      <w:pPr>
        <w:jc w:val="both"/>
        <w:divId w:val="1222792194"/>
        <w:rPr>
          <w:rFonts w:eastAsia="Times New Roman"/>
        </w:rPr>
      </w:pPr>
      <w:r>
        <w:rPr>
          <w:rFonts w:eastAsia="Times New Roman"/>
          <w:color w:val="000000"/>
          <w:sz w:val="20"/>
          <w:szCs w:val="20"/>
        </w:rPr>
        <w:t>On June 23, 2019, we entered into a Securities Purchase Agreement with CVI pursuant to</w:t>
      </w:r>
      <w:r>
        <w:rPr>
          <w:rFonts w:eastAsia="Times New Roman"/>
          <w:color w:val="000000"/>
          <w:sz w:val="20"/>
          <w:szCs w:val="20"/>
        </w:rPr>
        <w:t xml:space="preserve"> which we sold to CVI for aggregate gross proceeds of $20.0 million (i) 2,728,513 shares of Common Stock and (ii) Series A Warrants, Series B-1 Warrants, Series B-2 Warrants and Series C Warrants to initially purchase up to 11,654,033 shares of Common Stoc</w:t>
      </w:r>
      <w:r>
        <w:rPr>
          <w:rFonts w:eastAsia="Times New Roman"/>
          <w:color w:val="000000"/>
          <w:sz w:val="20"/>
          <w:szCs w:val="20"/>
        </w:rPr>
        <w:t>k (the "Private Placement"). On October 14, 2019, we issued 2,728,513 shares of Common Stock to CVI upon exercise by CVI of the Series C Warrants. As a result of this exercise, the number of shares issuable under our Series A Warrants was increased by 2,72</w:t>
      </w:r>
      <w:r>
        <w:rPr>
          <w:rFonts w:eastAsia="Times New Roman"/>
          <w:color w:val="000000"/>
          <w:sz w:val="20"/>
          <w:szCs w:val="20"/>
        </w:rPr>
        <w:t>8,513. On January 29, 2020, the Series B-1 Warrants expired unexercised. On August 3, 2020, the Series B-2 Warrants expired unexercised.</w:t>
      </w:r>
    </w:p>
    <w:p w:rsidR="00000000" w:rsidRDefault="000242E9">
      <w:pPr>
        <w:jc w:val="both"/>
        <w:divId w:val="1629316285"/>
        <w:rPr>
          <w:rFonts w:eastAsia="Times New Roman"/>
        </w:rPr>
      </w:pPr>
      <w:r>
        <w:rPr>
          <w:rFonts w:eastAsia="Times New Roman"/>
          <w:color w:val="000000"/>
          <w:sz w:val="20"/>
          <w:szCs w:val="20"/>
        </w:rPr>
        <w:t xml:space="preserve">For additional information on the Private Placement, refer to </w:t>
      </w:r>
      <w:hyperlink w:anchor="if7a518a588154f7ab52f3429da641a28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Stockholders' Equity</w:t>
      </w:r>
      <w:r>
        <w:rPr>
          <w:rFonts w:eastAsia="Times New Roman"/>
          <w:color w:val="000000"/>
          <w:sz w:val="20"/>
          <w:szCs w:val="20"/>
        </w:rPr>
        <w:t xml:space="preserve">. </w:t>
      </w:r>
    </w:p>
    <w:p w:rsidR="00000000" w:rsidRDefault="000242E9">
      <w:pPr>
        <w:jc w:val="both"/>
        <w:divId w:val="1011490376"/>
        <w:rPr>
          <w:rFonts w:eastAsia="Times New Roman"/>
        </w:rPr>
      </w:pPr>
      <w:r>
        <w:rPr>
          <w:rFonts w:eastAsia="Times New Roman"/>
          <w:color w:val="000000"/>
          <w:sz w:val="20"/>
          <w:szCs w:val="20"/>
          <w:u w:val="single"/>
        </w:rPr>
        <w:t>Issuance and Sale of Senior Secured Convertible Notes and Warrants</w:t>
      </w:r>
    </w:p>
    <w:p w:rsidR="00000000" w:rsidRDefault="000242E9">
      <w:pPr>
        <w:jc w:val="both"/>
        <w:divId w:val="1399472727"/>
        <w:rPr>
          <w:rFonts w:eastAsia="Times New Roman"/>
        </w:rPr>
      </w:pPr>
      <w:r>
        <w:rPr>
          <w:rFonts w:eastAsia="Times New Roman"/>
          <w:color w:val="000000"/>
          <w:sz w:val="20"/>
          <w:szCs w:val="20"/>
        </w:rPr>
        <w:t>On January 16, 2018, we entered into certain agreements with Starboard, pursuant to which we issued and sold to Starboard $150.0 million in Notes in exchange for $85.0 million in cash and 2,600,000 shares of Common Stock. We also agreed to issue to Starboa</w:t>
      </w:r>
      <w:r>
        <w:rPr>
          <w:rFonts w:eastAsia="Times New Roman"/>
          <w:color w:val="000000"/>
          <w:sz w:val="20"/>
          <w:szCs w:val="20"/>
        </w:rPr>
        <w:t>rd warrants to purchase 250,000 shares of Common Stock at a price of $0.01 per share, as adjusted pursuant to the terms of the warrants. The warrants were issued on October 12, 2018 and exercised in full on April 3, 2019 for 323,448 shares of Common Stock.</w:t>
      </w:r>
      <w:r>
        <w:rPr>
          <w:rFonts w:eastAsia="Times New Roman"/>
          <w:color w:val="000000"/>
          <w:sz w:val="20"/>
          <w:szCs w:val="20"/>
        </w:rPr>
        <w:t xml:space="preserve"> On May 17, 2018, we issued and sold to Starboard $50.0 million of Notes in exchange for $15.0 million in cash and 1,400,000 shares of Common Stock. Later in 2018 we issued an aggregate of $4.0 million in Notes to Starboard, bringing the total balance of t</w:t>
      </w:r>
      <w:r>
        <w:rPr>
          <w:rFonts w:eastAsia="Times New Roman"/>
          <w:color w:val="000000"/>
          <w:sz w:val="20"/>
          <w:szCs w:val="20"/>
        </w:rPr>
        <w:t>he Notes as of September 30, 2020 to $204.0 million.</w:t>
      </w:r>
    </w:p>
    <w:p w:rsidR="00000000" w:rsidRDefault="000242E9">
      <w:pPr>
        <w:jc w:val="both"/>
        <w:divId w:val="566960110"/>
        <w:rPr>
          <w:rFonts w:eastAsia="Times New Roman"/>
        </w:rPr>
      </w:pPr>
      <w:r>
        <w:rPr>
          <w:rFonts w:eastAsia="Times New Roman"/>
          <w:color w:val="000000"/>
          <w:sz w:val="20"/>
          <w:szCs w:val="20"/>
        </w:rPr>
        <w:t>The Notes contain certain affirmative and restrictive covenants with which we must comply, including covenants with respect to (i) limitations on additional indebtedness, (ii) limitations on liens, (iii)</w:t>
      </w:r>
      <w:r>
        <w:rPr>
          <w:rFonts w:eastAsia="Times New Roman"/>
          <w:color w:val="000000"/>
          <w:sz w:val="20"/>
          <w:szCs w:val="20"/>
        </w:rPr>
        <w:t xml:space="preserve"> limitations on certain payments, (iv) maintenance of certain minimum cash balances (currently $40.0 million) and (v) the timely filing of certain disclosures with the SEC. We are in compliance with the Notes covenants as of September 30, 2020, inclusive o</w:t>
      </w:r>
      <w:r>
        <w:rPr>
          <w:rFonts w:eastAsia="Times New Roman"/>
          <w:color w:val="000000"/>
          <w:sz w:val="20"/>
          <w:szCs w:val="20"/>
        </w:rPr>
        <w:t>f our restricted cash balances. As discussed above, any breach of these covenants could have a significant negative effect on our liquidity.</w:t>
      </w:r>
    </w:p>
    <w:p w:rsidR="00000000" w:rsidRDefault="000242E9">
      <w:pPr>
        <w:jc w:val="both"/>
        <w:divId w:val="302348956"/>
        <w:rPr>
          <w:rFonts w:eastAsia="Times New Roman"/>
        </w:rPr>
      </w:pPr>
      <w:r>
        <w:rPr>
          <w:rFonts w:eastAsia="Times New Roman"/>
          <w:color w:val="000000"/>
          <w:sz w:val="20"/>
          <w:szCs w:val="20"/>
        </w:rPr>
        <w:t xml:space="preserve">For additional information on the Notes, refer to </w:t>
      </w:r>
      <w:hyperlink w:anchor="if7a518a588154f7ab52f3429da641a28_52" w:history="1">
        <w:r>
          <w:rPr>
            <w:rStyle w:val="a3"/>
            <w:rFonts w:eastAsia="Times New Roman"/>
            <w:sz w:val="20"/>
            <w:szCs w:val="20"/>
          </w:rPr>
          <w:t>Footno</w:t>
        </w:r>
        <w:r>
          <w:rPr>
            <w:rStyle w:val="a3"/>
            <w:rFonts w:eastAsia="Times New Roman"/>
            <w:sz w:val="20"/>
            <w:szCs w:val="20"/>
          </w:rPr>
          <w:t>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w:t>
      </w:r>
    </w:p>
    <w:p w:rsidR="00000000" w:rsidRDefault="000242E9">
      <w:pPr>
        <w:jc w:val="both"/>
        <w:divId w:val="1424301149"/>
        <w:rPr>
          <w:rFonts w:eastAsia="Times New Roman"/>
        </w:rPr>
      </w:pPr>
      <w:r>
        <w:rPr>
          <w:rFonts w:eastAsia="Times New Roman"/>
          <w:color w:val="000000"/>
          <w:sz w:val="20"/>
          <w:szCs w:val="20"/>
          <w:u w:val="single"/>
        </w:rPr>
        <w:t>Secured Term Note</w:t>
      </w:r>
    </w:p>
    <w:p w:rsidR="00000000" w:rsidRDefault="000242E9">
      <w:pPr>
        <w:jc w:val="both"/>
        <w:divId w:val="968511700"/>
        <w:rPr>
          <w:rFonts w:eastAsia="Times New Roman"/>
        </w:rPr>
      </w:pPr>
      <w:r>
        <w:rPr>
          <w:rFonts w:eastAsia="Times New Roman"/>
          <w:color w:val="000000"/>
          <w:sz w:val="20"/>
          <w:szCs w:val="20"/>
        </w:rPr>
        <w:t>On December 31, 2019, our wholly owned subsidiary, Rentrak B.V., entered into an agreement with several third parties for the Secured Term Note in exchange for gross proceeds of $13.0 million. The Secured Term Note matures on December 31, 2021 and has an a</w:t>
      </w:r>
      <w:r>
        <w:rPr>
          <w:rFonts w:eastAsia="Times New Roman"/>
          <w:color w:val="000000"/>
          <w:sz w:val="20"/>
          <w:szCs w:val="20"/>
        </w:rPr>
        <w:t xml:space="preserve">nnual interest rate of 9.75% that is payable monthly in cash. </w:t>
      </w:r>
    </w:p>
    <w:p w:rsidR="00000000" w:rsidRDefault="000242E9">
      <w:pPr>
        <w:jc w:val="both"/>
        <w:divId w:val="1884825517"/>
        <w:rPr>
          <w:rFonts w:eastAsia="Times New Roman"/>
        </w:rPr>
      </w:pPr>
      <w:r>
        <w:rPr>
          <w:rFonts w:eastAsia="Times New Roman"/>
          <w:color w:val="000000"/>
          <w:sz w:val="20"/>
          <w:szCs w:val="20"/>
        </w:rPr>
        <w:t>The Secured Term Note contains certain affirmative and restrictive covenants with which Rentrak B.V. must comply, including (i) maintenance of a minimum cash collateral balance of $14.8 million</w:t>
      </w:r>
      <w:r>
        <w:rPr>
          <w:rFonts w:eastAsia="Times New Roman"/>
          <w:color w:val="000000"/>
          <w:sz w:val="20"/>
          <w:szCs w:val="20"/>
        </w:rPr>
        <w:t>, (ii) provision of certain financial statements, (iii) limitations on additional indebtedness and liens, (iv) limitations on repayment of debt, (v) limitations on repurchase of stock, and (vi) limitations on disposition of assets. Rentrak B.V. is in compl</w:t>
      </w:r>
      <w:r>
        <w:rPr>
          <w:rFonts w:eastAsia="Times New Roman"/>
          <w:color w:val="000000"/>
          <w:sz w:val="20"/>
          <w:szCs w:val="20"/>
        </w:rPr>
        <w:t>iance with the Secured Term Note covenants as of September 30, 2020.</w:t>
      </w:r>
    </w:p>
    <w:p w:rsidR="00000000" w:rsidRDefault="000242E9">
      <w:pPr>
        <w:jc w:val="both"/>
        <w:divId w:val="810831281"/>
        <w:rPr>
          <w:rFonts w:eastAsia="Times New Roman"/>
        </w:rPr>
      </w:pPr>
      <w:r>
        <w:rPr>
          <w:rFonts w:eastAsia="Times New Roman"/>
          <w:color w:val="000000"/>
          <w:sz w:val="20"/>
          <w:szCs w:val="20"/>
        </w:rPr>
        <w:t xml:space="preserve">For additional information on the Secured Term Note, refer to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w:t>
      </w:r>
    </w:p>
    <w:p w:rsidR="00000000" w:rsidRDefault="000242E9">
      <w:pPr>
        <w:jc w:val="both"/>
        <w:divId w:val="334377871"/>
        <w:rPr>
          <w:rFonts w:eastAsia="Times New Roman"/>
        </w:rPr>
      </w:pPr>
      <w:r>
        <w:rPr>
          <w:rFonts w:eastAsia="Times New Roman"/>
          <w:b/>
          <w:bCs/>
          <w:i/>
          <w:iCs/>
          <w:color w:val="000000"/>
          <w:sz w:val="20"/>
          <w:szCs w:val="20"/>
        </w:rPr>
        <w:t>Operating Activities</w:t>
      </w:r>
    </w:p>
    <w:p w:rsidR="00000000" w:rsidRDefault="000242E9">
      <w:pPr>
        <w:jc w:val="both"/>
        <w:divId w:val="321277136"/>
        <w:rPr>
          <w:rFonts w:eastAsia="Times New Roman"/>
        </w:rPr>
      </w:pPr>
      <w:r>
        <w:rPr>
          <w:rFonts w:eastAsia="Times New Roman"/>
          <w:color w:val="000000"/>
          <w:sz w:val="20"/>
          <w:szCs w:val="20"/>
        </w:rPr>
        <w:t>Our primary sourc</w:t>
      </w:r>
      <w:r>
        <w:rPr>
          <w:rFonts w:eastAsia="Times New Roman"/>
          <w:color w:val="000000"/>
          <w:sz w:val="20"/>
          <w:szCs w:val="20"/>
        </w:rPr>
        <w:t>e of cash provided by operating activities is revenues generated from sales of our Ratings and Planning, Analytics and Optimization, and Movies Reporting and Analytics products and services. Our primary uses of cash from operating activities include person</w:t>
      </w:r>
      <w:r>
        <w:rPr>
          <w:rFonts w:eastAsia="Times New Roman"/>
          <w:color w:val="000000"/>
          <w:sz w:val="20"/>
          <w:szCs w:val="20"/>
        </w:rPr>
        <w:t>nel costs and costs related to data and infrastructure used to develop and maintain our products and services. As discussed above, we have experienced delays in customer payments and requests to modify contractual terms in connection with the COVID-19 pand</w:t>
      </w:r>
      <w:r>
        <w:rPr>
          <w:rFonts w:eastAsia="Times New Roman"/>
          <w:color w:val="000000"/>
          <w:sz w:val="20"/>
          <w:szCs w:val="20"/>
        </w:rPr>
        <w:t>emic and related government mandates and restrictions.</w:t>
      </w:r>
    </w:p>
    <w:p w:rsidR="00000000" w:rsidRDefault="000242E9">
      <w:pPr>
        <w:jc w:val="both"/>
        <w:divId w:val="1871796603"/>
        <w:rPr>
          <w:rFonts w:eastAsia="Times New Roman"/>
        </w:rPr>
      </w:pPr>
      <w:r>
        <w:rPr>
          <w:rFonts w:eastAsia="Times New Roman"/>
          <w:color w:val="000000"/>
          <w:sz w:val="20"/>
          <w:szCs w:val="20"/>
        </w:rPr>
        <w:t>Cash used in operating activities is calculated by adjusting our net loss for changes in working capital, as well as by excluding non-cash items such as: depreciation, non-cash operating lease expense,</w:t>
      </w:r>
      <w:r>
        <w:rPr>
          <w:rFonts w:eastAsia="Times New Roman"/>
          <w:color w:val="000000"/>
          <w:sz w:val="20"/>
          <w:szCs w:val="20"/>
        </w:rPr>
        <w:t xml:space="preserve"> amortization expense of finance leases and intangible assets, impairment of right-of-use assets, stock-based compensation, deferred tax provision, change in the fair value of financing derivatives, warrants liability and equity securities, non-cash intere</w:t>
      </w:r>
      <w:r>
        <w:rPr>
          <w:rFonts w:eastAsia="Times New Roman"/>
          <w:color w:val="000000"/>
          <w:sz w:val="20"/>
          <w:szCs w:val="20"/>
        </w:rPr>
        <w:t>st expense on senior secured convertible notes, accretion of debt discount, and amortization of deferred financing costs.</w:t>
      </w:r>
    </w:p>
    <w:p w:rsidR="00000000" w:rsidRDefault="000242E9">
      <w:pPr>
        <w:jc w:val="both"/>
        <w:divId w:val="1440641084"/>
        <w:rPr>
          <w:rFonts w:eastAsia="Times New Roman"/>
        </w:rPr>
      </w:pPr>
      <w:r>
        <w:rPr>
          <w:rFonts w:eastAsia="Times New Roman"/>
          <w:color w:val="000000"/>
          <w:sz w:val="20"/>
          <w:szCs w:val="20"/>
        </w:rPr>
        <w:t xml:space="preserve">Net cash used in operating activities for the nine months ended September 30, 2020 was $1.8 million compared to net cash used of $3.1 </w:t>
      </w:r>
      <w:r>
        <w:rPr>
          <w:rFonts w:eastAsia="Times New Roman"/>
          <w:color w:val="000000"/>
          <w:sz w:val="20"/>
          <w:szCs w:val="20"/>
        </w:rPr>
        <w:t xml:space="preserve">million for the nine months ended September 30, 2019. The decrease in cash used in operating activities during the nine months ended September 30, 2020 as compared to the nine months ended September 30, 2019 was primarily attributable to a decrease in the </w:t>
      </w:r>
      <w:r>
        <w:rPr>
          <w:rFonts w:eastAsia="Times New Roman"/>
          <w:color w:val="000000"/>
          <w:sz w:val="20"/>
          <w:szCs w:val="20"/>
        </w:rPr>
        <w:t xml:space="preserve">net loss, offset by an increase in cash interest paid on the Notes in 2020 of $15.3 million, as well as a net decrease in operating assets </w:t>
      </w:r>
    </w:p>
    <w:p w:rsidR="00000000" w:rsidRDefault="000242E9">
      <w:pPr>
        <w:jc w:val="center"/>
        <w:divId w:val="1211575386"/>
        <w:rPr>
          <w:rFonts w:eastAsia="Times New Roman"/>
        </w:rPr>
      </w:pPr>
      <w:r>
        <w:rPr>
          <w:rFonts w:eastAsia="Times New Roman"/>
          <w:color w:val="000000"/>
          <w:sz w:val="20"/>
          <w:szCs w:val="20"/>
        </w:rPr>
        <w:t>33</w:t>
      </w:r>
    </w:p>
    <w:p w:rsidR="00000000" w:rsidRDefault="000242E9">
      <w:pPr>
        <w:rPr>
          <w:rFonts w:eastAsia="Times New Roman"/>
        </w:rPr>
      </w:pPr>
      <w:r>
        <w:rPr>
          <w:rFonts w:eastAsia="Times New Roman"/>
        </w:rPr>
        <w:pict>
          <v:rect id="_x0000_i1060" style="width:0;height:1.5pt" o:hralign="center" o:hrstd="t" o:hr="t" fillcolor="#a0a0a0" stroked="f"/>
        </w:pict>
      </w:r>
    </w:p>
    <w:p w:rsidR="00000000" w:rsidRDefault="000242E9">
      <w:pPr>
        <w:jc w:val="both"/>
        <w:divId w:val="1893618803"/>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893618803"/>
        <w:rPr>
          <w:rFonts w:eastAsia="Times New Roman"/>
        </w:rPr>
      </w:pPr>
    </w:p>
    <w:p w:rsidR="00000000" w:rsidRDefault="000242E9">
      <w:pPr>
        <w:jc w:val="both"/>
        <w:divId w:val="1889144476"/>
        <w:rPr>
          <w:rFonts w:eastAsia="Times New Roman"/>
        </w:rPr>
      </w:pPr>
      <w:r>
        <w:rPr>
          <w:rFonts w:eastAsia="Times New Roman"/>
          <w:color w:val="000000"/>
          <w:sz w:val="20"/>
          <w:szCs w:val="20"/>
        </w:rPr>
        <w:t xml:space="preserve">and liabilities of $14.6 million for the nine months ended September 30, 2020 as compared to a net increase of $6.2 million for the nine months ended September 30, 2019. The shift from a net increase in operating assets and liabilities to a net decrease </w:t>
      </w:r>
      <w:r>
        <w:rPr>
          <w:rFonts w:eastAsia="Times New Roman"/>
          <w:color w:val="000000"/>
          <w:sz w:val="20"/>
          <w:szCs w:val="20"/>
        </w:rPr>
        <w:t>is primarily due to payments of our accounts payable and accrual balances from the prior year during the nine months ended September 30, 2020. Included in our decrease of operating assets and liabilities is an increase in contract liability related to an u</w:t>
      </w:r>
      <w:r>
        <w:rPr>
          <w:rFonts w:eastAsia="Times New Roman"/>
          <w:color w:val="000000"/>
          <w:sz w:val="20"/>
          <w:szCs w:val="20"/>
        </w:rPr>
        <w:t>pfront payment resulting from a new contract, which increased our cash balance by $9.4 million during the second quarter of 2020.</w:t>
      </w:r>
    </w:p>
    <w:p w:rsidR="00000000" w:rsidRDefault="000242E9">
      <w:pPr>
        <w:jc w:val="both"/>
        <w:divId w:val="151142130"/>
        <w:rPr>
          <w:rFonts w:eastAsia="Times New Roman"/>
        </w:rPr>
      </w:pPr>
      <w:r>
        <w:rPr>
          <w:rFonts w:eastAsia="Times New Roman"/>
          <w:b/>
          <w:bCs/>
          <w:i/>
          <w:iCs/>
          <w:color w:val="000000"/>
          <w:sz w:val="20"/>
          <w:szCs w:val="20"/>
        </w:rPr>
        <w:t>Investing Activities</w:t>
      </w:r>
    </w:p>
    <w:p w:rsidR="00000000" w:rsidRDefault="000242E9">
      <w:pPr>
        <w:jc w:val="both"/>
        <w:divId w:val="1688094856"/>
        <w:rPr>
          <w:rFonts w:eastAsia="Times New Roman"/>
        </w:rPr>
      </w:pPr>
      <w:r>
        <w:rPr>
          <w:rFonts w:eastAsia="Times New Roman"/>
          <w:color w:val="000000"/>
          <w:sz w:val="20"/>
          <w:szCs w:val="20"/>
        </w:rPr>
        <w:t>Cash used in investing activities primarily consists of payments related to capitalized internal-use soft</w:t>
      </w:r>
      <w:r>
        <w:rPr>
          <w:rFonts w:eastAsia="Times New Roman"/>
          <w:color w:val="000000"/>
          <w:sz w:val="20"/>
          <w:szCs w:val="20"/>
        </w:rPr>
        <w:t>ware costs, purchases of computer and network equipment to support our technical infrastructure, and furniture and equipment. The extent of these investments will be affected by our ability to expand relationships with existing customers, grow our customer</w:t>
      </w:r>
      <w:r>
        <w:rPr>
          <w:rFonts w:eastAsia="Times New Roman"/>
          <w:color w:val="000000"/>
          <w:sz w:val="20"/>
          <w:szCs w:val="20"/>
        </w:rPr>
        <w:t xml:space="preserve"> base and introduce new digital formats, as well as constraints on cash expenditures in the current economic environment.</w:t>
      </w:r>
    </w:p>
    <w:p w:rsidR="00000000" w:rsidRDefault="000242E9">
      <w:pPr>
        <w:jc w:val="both"/>
        <w:divId w:val="929001593"/>
        <w:rPr>
          <w:rFonts w:eastAsia="Times New Roman"/>
        </w:rPr>
      </w:pPr>
      <w:r>
        <w:rPr>
          <w:rFonts w:eastAsia="Times New Roman"/>
          <w:color w:val="000000"/>
          <w:sz w:val="20"/>
          <w:szCs w:val="20"/>
        </w:rPr>
        <w:t>Net cash used in investing activities for the nine months ended September 30, 2020 was $11.6 million compared to net cash used in inve</w:t>
      </w:r>
      <w:r>
        <w:rPr>
          <w:rFonts w:eastAsia="Times New Roman"/>
          <w:color w:val="000000"/>
          <w:sz w:val="20"/>
          <w:szCs w:val="20"/>
        </w:rPr>
        <w:t>sting activities of $7.8 million for the nine months ended September 30, 2019. This increase in cash used in investing activities was attributable to an increase of $2.6 million in payments for capitalized internally developed software and a $3.8 million d</w:t>
      </w:r>
      <w:r>
        <w:rPr>
          <w:rFonts w:eastAsia="Times New Roman"/>
          <w:color w:val="000000"/>
          <w:sz w:val="20"/>
          <w:szCs w:val="20"/>
        </w:rPr>
        <w:t xml:space="preserve">ecline in receipts from the sale of an investment in 2019, partially offset by a $2.6 million decrease in purchases of property and equipment in 2020 compared with 2019. </w:t>
      </w:r>
    </w:p>
    <w:p w:rsidR="00000000" w:rsidRDefault="000242E9">
      <w:pPr>
        <w:jc w:val="both"/>
        <w:divId w:val="1827432059"/>
        <w:rPr>
          <w:rFonts w:eastAsia="Times New Roman"/>
        </w:rPr>
      </w:pPr>
      <w:r>
        <w:rPr>
          <w:rFonts w:eastAsia="Times New Roman"/>
          <w:b/>
          <w:bCs/>
          <w:i/>
          <w:iCs/>
          <w:color w:val="000000"/>
          <w:sz w:val="20"/>
          <w:szCs w:val="20"/>
        </w:rPr>
        <w:t>Financing Activities</w:t>
      </w:r>
    </w:p>
    <w:p w:rsidR="00000000" w:rsidRDefault="000242E9">
      <w:pPr>
        <w:jc w:val="both"/>
        <w:divId w:val="462040682"/>
        <w:rPr>
          <w:rFonts w:eastAsia="Times New Roman"/>
        </w:rPr>
      </w:pPr>
      <w:r>
        <w:rPr>
          <w:rFonts w:eastAsia="Times New Roman"/>
          <w:color w:val="000000"/>
          <w:sz w:val="20"/>
          <w:szCs w:val="20"/>
        </w:rPr>
        <w:t>Net cash used in financing activities during the nine months ended September 30, 2020 was $1.5 million compared to net cash provided by financing activities of $19.9 million during the nine months ended September 30, 2019. The shift from cash provided by f</w:t>
      </w:r>
      <w:r>
        <w:rPr>
          <w:rFonts w:eastAsia="Times New Roman"/>
          <w:color w:val="000000"/>
          <w:sz w:val="20"/>
          <w:szCs w:val="20"/>
        </w:rPr>
        <w:t>inancing activities to cash used in financing activities was largely due to cash proceeds of $19.8 million from the sale of shares of Common Stock and warrants in the Private Placement during 2019 and cash proceeds of $4.3 million from the sale-leaseback t</w:t>
      </w:r>
      <w:r>
        <w:rPr>
          <w:rFonts w:eastAsia="Times New Roman"/>
          <w:color w:val="000000"/>
          <w:sz w:val="20"/>
          <w:szCs w:val="20"/>
        </w:rPr>
        <w:t>ransaction during 2019. These were offset by a decrease of $2.5 million in principal payments on finance lease and software licensing arrangements.</w:t>
      </w:r>
    </w:p>
    <w:p w:rsidR="00000000" w:rsidRDefault="000242E9">
      <w:pPr>
        <w:jc w:val="both"/>
        <w:divId w:val="1021513509"/>
        <w:rPr>
          <w:rFonts w:eastAsia="Times New Roman"/>
        </w:rPr>
      </w:pPr>
      <w:r>
        <w:rPr>
          <w:rFonts w:eastAsia="Times New Roman"/>
          <w:b/>
          <w:bCs/>
          <w:i/>
          <w:iCs/>
          <w:color w:val="000000"/>
          <w:sz w:val="20"/>
          <w:szCs w:val="20"/>
        </w:rPr>
        <w:t>Contractual Payment Obligations</w:t>
      </w:r>
    </w:p>
    <w:p w:rsidR="00000000" w:rsidRDefault="000242E9">
      <w:pPr>
        <w:jc w:val="both"/>
        <w:divId w:val="320306418"/>
        <w:rPr>
          <w:rFonts w:eastAsia="Times New Roman"/>
        </w:rPr>
      </w:pPr>
      <w:r>
        <w:rPr>
          <w:rFonts w:eastAsia="Times New Roman"/>
          <w:color w:val="000000"/>
          <w:sz w:val="20"/>
          <w:szCs w:val="20"/>
        </w:rPr>
        <w:t>We are subject to certain contractual arrangements that are long-term in nat</w:t>
      </w:r>
      <w:r>
        <w:rPr>
          <w:rFonts w:eastAsia="Times New Roman"/>
          <w:color w:val="000000"/>
          <w:sz w:val="20"/>
          <w:szCs w:val="20"/>
        </w:rPr>
        <w:t>ure. The information set forth below summarizes our contractual obligations as of September 30, 2020 that are fixed and determinable.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29"/>
        <w:gridCol w:w="38"/>
        <w:gridCol w:w="36"/>
        <w:gridCol w:w="36"/>
        <w:gridCol w:w="36"/>
        <w:gridCol w:w="110"/>
        <w:gridCol w:w="685"/>
        <w:gridCol w:w="36"/>
        <w:gridCol w:w="36"/>
        <w:gridCol w:w="36"/>
        <w:gridCol w:w="36"/>
        <w:gridCol w:w="111"/>
        <w:gridCol w:w="685"/>
        <w:gridCol w:w="36"/>
        <w:gridCol w:w="36"/>
        <w:gridCol w:w="36"/>
        <w:gridCol w:w="36"/>
        <w:gridCol w:w="110"/>
        <w:gridCol w:w="685"/>
        <w:gridCol w:w="36"/>
        <w:gridCol w:w="36"/>
        <w:gridCol w:w="36"/>
        <w:gridCol w:w="36"/>
        <w:gridCol w:w="110"/>
        <w:gridCol w:w="686"/>
        <w:gridCol w:w="36"/>
        <w:gridCol w:w="36"/>
        <w:gridCol w:w="36"/>
        <w:gridCol w:w="36"/>
        <w:gridCol w:w="110"/>
        <w:gridCol w:w="688"/>
        <w:gridCol w:w="36"/>
      </w:tblGrid>
      <w:tr w:rsidR="00000000">
        <w:trPr>
          <w:divId w:val="1269047963"/>
          <w:jc w:val="center"/>
        </w:trPr>
        <w:tc>
          <w:tcPr>
            <w:tcW w:w="50" w:type="pct"/>
            <w:vAlign w:val="center"/>
            <w:hideMark/>
          </w:tcPr>
          <w:p w:rsidR="00000000" w:rsidRDefault="000242E9">
            <w:pPr>
              <w:jc w:val="both"/>
              <w:rPr>
                <w:rFonts w:eastAsia="Times New Roman"/>
              </w:rPr>
            </w:pPr>
          </w:p>
        </w:tc>
        <w:tc>
          <w:tcPr>
            <w:tcW w:w="220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6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269047963"/>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1-3 Years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3-5</w:t>
            </w:r>
            <w:r>
              <w:rPr>
                <w:rFonts w:eastAsia="Times New Roman"/>
                <w:b/>
                <w:bCs/>
                <w:color w:val="000000"/>
                <w:sz w:val="16"/>
                <w:szCs w:val="16"/>
              </w:rPr>
              <w:br/>
              <w:t>Years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More</w:t>
            </w:r>
            <w:r>
              <w:rPr>
                <w:rFonts w:eastAsia="Times New Roman"/>
                <w:b/>
                <w:bCs/>
                <w:color w:val="000000"/>
                <w:sz w:val="16"/>
                <w:szCs w:val="16"/>
              </w:rPr>
              <w:br/>
              <w:t>Than 5</w:t>
            </w:r>
            <w:r>
              <w:rPr>
                <w:rFonts w:eastAsia="Times New Roman"/>
                <w:b/>
                <w:bCs/>
                <w:color w:val="000000"/>
                <w:sz w:val="16"/>
                <w:szCs w:val="16"/>
              </w:rPr>
              <w:br/>
              <w:t>Years</w:t>
            </w:r>
          </w:p>
        </w:tc>
      </w:tr>
      <w:tr w:rsidR="00000000">
        <w:trPr>
          <w:divId w:val="126904796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2042246294"/>
              <w:rPr>
                <w:rFonts w:eastAsia="Times New Roman"/>
              </w:rPr>
            </w:pPr>
            <w:r>
              <w:rPr>
                <w:rFonts w:eastAsia="Times New Roman"/>
                <w:color w:val="000000"/>
                <w:sz w:val="18"/>
                <w:szCs w:val="18"/>
              </w:rPr>
              <w:t>Long-term debt obligations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217,000 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2022394155"/>
              <w:rPr>
                <w:rFonts w:eastAsia="Times New Roman"/>
              </w:rPr>
            </w:pPr>
            <w:r>
              <w:rPr>
                <w:rFonts w:eastAsia="Times New Roman"/>
                <w:color w:val="000000"/>
                <w:sz w:val="18"/>
                <w:szCs w:val="18"/>
              </w:rPr>
              <w:t>Unconditional purchase obligations with MVPDs</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82,827 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31,960 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46,236 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4,631 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628122192"/>
              <w:rPr>
                <w:rFonts w:eastAsia="Times New Roman"/>
              </w:rPr>
            </w:pPr>
            <w:r>
              <w:rPr>
                <w:rFonts w:eastAsia="Times New Roman"/>
                <w:color w:val="000000"/>
                <w:sz w:val="18"/>
                <w:szCs w:val="18"/>
              </w:rPr>
              <w:t>Operating lease obligations</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65,948 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12,246 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19,882 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17,398 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16,422 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818767992"/>
              <w:rPr>
                <w:rFonts w:eastAsia="Times New Roman"/>
              </w:rPr>
            </w:pPr>
            <w:r>
              <w:rPr>
                <w:rFonts w:eastAsia="Times New Roman"/>
                <w:color w:val="000000"/>
                <w:sz w:val="18"/>
                <w:szCs w:val="18"/>
              </w:rPr>
              <w:t>Finance lease obligations</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4,227 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2,359 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1,868 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divId w:val="1674792716"/>
              <w:rPr>
                <w:rFonts w:eastAsia="Times New Roman"/>
              </w:rPr>
            </w:pPr>
            <w:r>
              <w:rPr>
                <w:rFonts w:eastAsia="Times New Roman"/>
                <w:color w:val="000000"/>
                <w:sz w:val="18"/>
                <w:szCs w:val="18"/>
              </w:rPr>
              <w:t>Sale-leaseback financing transaction</w:t>
            </w:r>
            <w:r>
              <w:rPr>
                <w:rFonts w:eastAsia="Times New Roman"/>
                <w:color w:val="000000"/>
                <w:sz w:val="18"/>
                <w:szCs w:val="18"/>
              </w:rPr>
              <w:t xml:space="preserve"> </w:t>
            </w:r>
            <w:r>
              <w:rPr>
                <w:rFonts w:eastAsia="Times New Roman"/>
                <w:i/>
                <w:iCs/>
                <w:color w:val="000000"/>
                <w:sz w:val="12"/>
                <w:szCs w:val="12"/>
              </w:rPr>
              <w:t>(5</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1,984 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FFFFFF"/>
            <w:tcMar>
              <w:top w:w="30" w:type="dxa"/>
              <w:left w:w="20" w:type="dxa"/>
              <w:bottom w:w="30" w:type="dxa"/>
              <w:right w:w="20" w:type="dxa"/>
            </w:tcMar>
            <w:vAlign w:val="bottom"/>
            <w:hideMark/>
          </w:tcPr>
          <w:p w:rsidR="00000000" w:rsidRDefault="000242E9">
            <w:pPr>
              <w:divId w:val="814951847"/>
              <w:rPr>
                <w:rFonts w:eastAsia="Times New Roman"/>
              </w:rPr>
            </w:pPr>
            <w:r>
              <w:rPr>
                <w:rFonts w:eastAsia="Times New Roman"/>
                <w:color w:val="000000"/>
                <w:sz w:val="18"/>
                <w:szCs w:val="18"/>
              </w:rPr>
              <w:t>Other long-term obligations</w:t>
            </w:r>
            <w:r>
              <w:rPr>
                <w:rFonts w:eastAsia="Times New Roman"/>
                <w:color w:val="000000"/>
                <w:sz w:val="18"/>
                <w:szCs w:val="18"/>
              </w:rPr>
              <w:t xml:space="preserve"> </w:t>
            </w:r>
            <w:r>
              <w:rPr>
                <w:rFonts w:eastAsia="Times New Roman"/>
                <w:i/>
                <w:iCs/>
                <w:color w:val="000000"/>
                <w:sz w:val="12"/>
                <w:szCs w:val="12"/>
              </w:rPr>
              <w:t>(6</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0242E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8,814 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5,337 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3,252 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0242E9">
            <w:pPr>
              <w:jc w:val="right"/>
              <w:rPr>
                <w:rFonts w:eastAsia="Times New Roman"/>
              </w:rPr>
            </w:pPr>
          </w:p>
        </w:tc>
      </w:tr>
      <w:tr w:rsidR="00000000">
        <w:trPr>
          <w:divId w:val="1269047963"/>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0242E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380,800 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53,886 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288,238 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22,254 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242E9">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242E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242E9">
            <w:pPr>
              <w:jc w:val="right"/>
              <w:rPr>
                <w:rFonts w:eastAsia="Times New Roman"/>
              </w:rPr>
            </w:pPr>
            <w:r>
              <w:rPr>
                <w:rFonts w:eastAsia="Times New Roman"/>
                <w:color w:val="000000"/>
                <w:sz w:val="18"/>
                <w:szCs w:val="18"/>
              </w:rPr>
              <w:t>16,422 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242E9">
            <w:pPr>
              <w:jc w:val="right"/>
              <w:rPr>
                <w:rFonts w:eastAsia="Times New Roman"/>
              </w:rPr>
            </w:pPr>
          </w:p>
        </w:tc>
      </w:tr>
    </w:tbl>
    <w:p w:rsidR="00000000" w:rsidRDefault="000242E9">
      <w:pPr>
        <w:jc w:val="both"/>
        <w:divId w:val="900555026"/>
        <w:rPr>
          <w:rFonts w:eastAsia="Times New Roman"/>
        </w:rPr>
      </w:pPr>
      <w:r>
        <w:rPr>
          <w:rFonts w:eastAsia="Times New Roman"/>
          <w:i/>
          <w:iCs/>
          <w:color w:val="000000"/>
          <w:sz w:val="10"/>
          <w:szCs w:val="10"/>
        </w:rPr>
        <w:t>(1)</w:t>
      </w:r>
      <w:r>
        <w:rPr>
          <w:rFonts w:eastAsia="Times New Roman"/>
          <w:i/>
          <w:iCs/>
          <w:color w:val="000000"/>
          <w:sz w:val="10"/>
          <w:szCs w:val="10"/>
        </w:rPr>
        <w:t xml:space="preserve"> </w:t>
      </w:r>
      <w:r>
        <w:rPr>
          <w:rFonts w:eastAsia="Times New Roman"/>
          <w:i/>
          <w:iCs/>
          <w:color w:val="000000"/>
          <w:sz w:val="16"/>
          <w:szCs w:val="16"/>
        </w:rPr>
        <w:t>In 2018, we entered into several agreements with Starboard whereby</w:t>
      </w:r>
      <w:r>
        <w:rPr>
          <w:rFonts w:eastAsia="Times New Roman"/>
          <w:i/>
          <w:iCs/>
          <w:color w:val="000000"/>
          <w:sz w:val="16"/>
          <w:szCs w:val="16"/>
        </w:rPr>
        <w:t xml:space="preserve"> we issued Notes in exchange for cash and shares of Common Stock. In 2019, our wholly-owned subsidiary, Rentrak B.V., entered into a Secured Term Note. See </w:t>
      </w:r>
      <w:hyperlink w:anchor="if7a518a588154f7ab52f3429da641a28_52" w:history="1">
        <w:r>
          <w:rPr>
            <w:rStyle w:val="a3"/>
            <w:rFonts w:eastAsia="Times New Roman"/>
            <w:i/>
            <w:iCs/>
            <w:sz w:val="16"/>
            <w:szCs w:val="16"/>
          </w:rPr>
          <w:t>Footnote 4</w:t>
        </w:r>
      </w:hyperlink>
      <w:r>
        <w:rPr>
          <w:rFonts w:eastAsia="Times New Roman"/>
          <w:i/>
          <w:iCs/>
          <w:color w:val="000000"/>
          <w:sz w:val="16"/>
          <w:szCs w:val="16"/>
        </w:rPr>
        <w:t>, Long-term Debt for more infor</w:t>
      </w:r>
      <w:r>
        <w:rPr>
          <w:rFonts w:eastAsia="Times New Roman"/>
          <w:i/>
          <w:iCs/>
          <w:color w:val="000000"/>
          <w:sz w:val="16"/>
          <w:szCs w:val="16"/>
        </w:rPr>
        <w:t>mation.</w:t>
      </w:r>
    </w:p>
    <w:p w:rsidR="00000000" w:rsidRDefault="000242E9">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Unconditional purchase obligations with MVPDs include contractual arrangements with MVPDs for the purchase of TV viewing data that is used in our products, primarily reported in the Ratings and Planning solution group. If these arrangements are</w:t>
      </w:r>
      <w:r>
        <w:rPr>
          <w:rFonts w:eastAsia="Times New Roman"/>
          <w:i/>
          <w:iCs/>
          <w:color w:val="000000"/>
          <w:sz w:val="16"/>
          <w:szCs w:val="16"/>
        </w:rPr>
        <w:t xml:space="preserve"> canceled by the MVPDs, we have the ability to terminate contracts with our end customers. Commitments reflected herein relate to future data obligations after September 30, 2020.</w:t>
      </w:r>
    </w:p>
    <w:p w:rsidR="00000000" w:rsidRDefault="000242E9">
      <w:pPr>
        <w:jc w:val="both"/>
        <w:rPr>
          <w:rFonts w:eastAsia="Times New Roman"/>
        </w:rPr>
      </w:pPr>
      <w:r>
        <w:rPr>
          <w:rFonts w:eastAsia="Times New Roman"/>
          <w:i/>
          <w:iCs/>
          <w:color w:val="000000"/>
          <w:sz w:val="10"/>
          <w:szCs w:val="10"/>
        </w:rPr>
        <w:t>(3)</w:t>
      </w:r>
      <w:r>
        <w:rPr>
          <w:rFonts w:eastAsia="Times New Roman"/>
          <w:i/>
          <w:iCs/>
          <w:color w:val="000000"/>
          <w:sz w:val="10"/>
          <w:szCs w:val="10"/>
        </w:rPr>
        <w:t xml:space="preserve"> </w:t>
      </w:r>
      <w:r>
        <w:rPr>
          <w:rFonts w:eastAsia="Times New Roman"/>
          <w:i/>
          <w:iCs/>
          <w:color w:val="000000"/>
          <w:sz w:val="16"/>
          <w:szCs w:val="16"/>
        </w:rPr>
        <w:t>Operating lease obligations represent future lease commitments, primaril</w:t>
      </w:r>
      <w:r>
        <w:rPr>
          <w:rFonts w:eastAsia="Times New Roman"/>
          <w:i/>
          <w:iCs/>
          <w:color w:val="000000"/>
          <w:sz w:val="16"/>
          <w:szCs w:val="16"/>
        </w:rPr>
        <w:t>y for real estate leases, accounted for under</w:t>
      </w:r>
      <w:r>
        <w:rPr>
          <w:rFonts w:eastAsia="Times New Roman"/>
          <w:b/>
          <w:bCs/>
          <w:i/>
          <w:iCs/>
          <w:color w:val="000000"/>
          <w:sz w:val="16"/>
          <w:szCs w:val="16"/>
        </w:rPr>
        <w:t xml:space="preserve"> </w:t>
      </w:r>
      <w:r>
        <w:rPr>
          <w:rFonts w:eastAsia="Times New Roman"/>
          <w:i/>
          <w:iCs/>
          <w:color w:val="000000"/>
          <w:sz w:val="16"/>
          <w:szCs w:val="16"/>
        </w:rPr>
        <w:t xml:space="preserve">ASC 842, Leases. </w:t>
      </w:r>
    </w:p>
    <w:p w:rsidR="00000000" w:rsidRDefault="000242E9">
      <w:pPr>
        <w:jc w:val="both"/>
        <w:rPr>
          <w:rFonts w:eastAsia="Times New Roman"/>
        </w:rPr>
      </w:pP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Finance lease obligations represent future lease commitments, primarily for equipment leases, accounted for under ASC 842, Leases.</w:t>
      </w:r>
    </w:p>
    <w:p w:rsidR="00000000" w:rsidRDefault="000242E9">
      <w:pPr>
        <w:jc w:val="both"/>
        <w:rPr>
          <w:rFonts w:eastAsia="Times New Roman"/>
        </w:rPr>
      </w:pPr>
      <w:r>
        <w:rPr>
          <w:rFonts w:eastAsia="Times New Roman"/>
          <w:i/>
          <w:iCs/>
          <w:color w:val="000000"/>
          <w:sz w:val="10"/>
          <w:szCs w:val="10"/>
        </w:rPr>
        <w:t>(5)</w:t>
      </w:r>
      <w:r>
        <w:rPr>
          <w:rFonts w:eastAsia="Times New Roman"/>
          <w:i/>
          <w:iCs/>
          <w:color w:val="000000"/>
          <w:sz w:val="10"/>
          <w:szCs w:val="10"/>
        </w:rPr>
        <w:t xml:space="preserve"> </w:t>
      </w:r>
      <w:r>
        <w:rPr>
          <w:rFonts w:eastAsia="Times New Roman"/>
          <w:i/>
          <w:iCs/>
          <w:color w:val="000000"/>
          <w:sz w:val="16"/>
          <w:szCs w:val="16"/>
        </w:rPr>
        <w:t>We entered into a sale-leaseback arrangement with a v</w:t>
      </w:r>
      <w:r>
        <w:rPr>
          <w:rFonts w:eastAsia="Times New Roman"/>
          <w:i/>
          <w:iCs/>
          <w:color w:val="000000"/>
          <w:sz w:val="16"/>
          <w:szCs w:val="16"/>
        </w:rPr>
        <w:t xml:space="preserve">endor in June 2019. See </w:t>
      </w:r>
      <w:hyperlink w:anchor="if7a518a588154f7ab52f3429da641a28_52" w:history="1">
        <w:r>
          <w:rPr>
            <w:rStyle w:val="a3"/>
            <w:rFonts w:eastAsia="Times New Roman"/>
            <w:i/>
            <w:iCs/>
            <w:sz w:val="16"/>
            <w:szCs w:val="16"/>
          </w:rPr>
          <w:t>Footnote 4</w:t>
        </w:r>
      </w:hyperlink>
      <w:r>
        <w:rPr>
          <w:rFonts w:eastAsia="Times New Roman"/>
          <w:i/>
          <w:iCs/>
          <w:color w:val="000000"/>
          <w:sz w:val="16"/>
          <w:szCs w:val="16"/>
        </w:rPr>
        <w:t>, Long-term Debt for more information.</w:t>
      </w:r>
    </w:p>
    <w:p w:rsidR="00000000" w:rsidRDefault="000242E9">
      <w:pPr>
        <w:jc w:val="both"/>
        <w:rPr>
          <w:rFonts w:eastAsia="Times New Roman"/>
        </w:rPr>
      </w:pPr>
      <w:r>
        <w:rPr>
          <w:rFonts w:eastAsia="Times New Roman"/>
          <w:i/>
          <w:iCs/>
          <w:color w:val="000000"/>
          <w:sz w:val="10"/>
          <w:szCs w:val="10"/>
        </w:rPr>
        <w:t>(6</w:t>
      </w:r>
      <w:r>
        <w:rPr>
          <w:rFonts w:eastAsia="Times New Roman"/>
          <w:i/>
          <w:iCs/>
          <w:color w:val="000000"/>
          <w:sz w:val="10"/>
          <w:szCs w:val="10"/>
        </w:rPr>
        <w:t>)</w:t>
      </w:r>
      <w:r>
        <w:rPr>
          <w:rFonts w:eastAsia="Times New Roman"/>
          <w:i/>
          <w:iCs/>
          <w:color w:val="000000"/>
          <w:sz w:val="16"/>
          <w:szCs w:val="16"/>
        </w:rPr>
        <w:t xml:space="preserve"> Other long-term obligations include long-term contracts for the acquisition of viewing data from non-MVPD partners, the </w:t>
      </w:r>
      <w:r>
        <w:rPr>
          <w:rFonts w:eastAsia="Times New Roman"/>
          <w:i/>
          <w:iCs/>
          <w:color w:val="000000"/>
          <w:sz w:val="16"/>
          <w:szCs w:val="16"/>
        </w:rPr>
        <w:t>right to access cloud-based solutions, and future commitments for our data center arrangements.</w:t>
      </w:r>
    </w:p>
    <w:p w:rsidR="00000000" w:rsidRDefault="000242E9">
      <w:pPr>
        <w:jc w:val="both"/>
        <w:divId w:val="477496151"/>
        <w:rPr>
          <w:rFonts w:eastAsia="Times New Roman"/>
        </w:rPr>
      </w:pPr>
      <w:r>
        <w:rPr>
          <w:rFonts w:eastAsia="Times New Roman"/>
          <w:b/>
          <w:bCs/>
          <w:i/>
          <w:iCs/>
          <w:color w:val="000000"/>
          <w:sz w:val="20"/>
          <w:szCs w:val="20"/>
        </w:rPr>
        <w:t>Future Capital Requirements</w:t>
      </w:r>
    </w:p>
    <w:p w:rsidR="00000000" w:rsidRDefault="000242E9">
      <w:pPr>
        <w:jc w:val="both"/>
        <w:divId w:val="489492730"/>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 of our debt and lease faci</w:t>
      </w:r>
      <w:r>
        <w:rPr>
          <w:rFonts w:eastAsia="Times New Roman"/>
          <w:color w:val="000000"/>
          <w:sz w:val="20"/>
          <w:szCs w:val="20"/>
        </w:rPr>
        <w:t>lities, and expenses from ongoing compliance efforts and legal matters. As discussed above, we have experienced delays in customer payments and requests to modify contractual terms in connection with the COVID-19 pandemic and related government mandates an</w:t>
      </w:r>
      <w:r>
        <w:rPr>
          <w:rFonts w:eastAsia="Times New Roman"/>
          <w:color w:val="000000"/>
          <w:sz w:val="20"/>
          <w:szCs w:val="20"/>
        </w:rPr>
        <w:t>d restrictions. To the extent that our existing cash, cash equivalents and operating cash flow, together with savings from cost-reduction initiatives undertaken by our management, are insufficient to fund our future activities and requirements, we may need</w:t>
      </w:r>
      <w:r>
        <w:rPr>
          <w:rFonts w:eastAsia="Times New Roman"/>
          <w:color w:val="000000"/>
          <w:sz w:val="20"/>
          <w:szCs w:val="20"/>
        </w:rPr>
        <w:t xml:space="preserve"> to raise additional funds through public or private equity or debt financing. The current disruption and volatility in global capital and credit markets could impact our ability to access capital resources on terms acceptable to us or allowable under appl</w:t>
      </w:r>
      <w:r>
        <w:rPr>
          <w:rFonts w:eastAsia="Times New Roman"/>
          <w:color w:val="000000"/>
          <w:sz w:val="20"/>
          <w:szCs w:val="20"/>
        </w:rPr>
        <w:t xml:space="preserve">icable financing </w:t>
      </w:r>
    </w:p>
    <w:p w:rsidR="00000000" w:rsidRDefault="000242E9">
      <w:pPr>
        <w:jc w:val="center"/>
        <w:divId w:val="1534927886"/>
        <w:rPr>
          <w:rFonts w:eastAsia="Times New Roman"/>
        </w:rPr>
      </w:pPr>
      <w:r>
        <w:rPr>
          <w:rFonts w:eastAsia="Times New Roman"/>
          <w:color w:val="000000"/>
          <w:sz w:val="20"/>
          <w:szCs w:val="20"/>
        </w:rPr>
        <w:t>34</w:t>
      </w:r>
    </w:p>
    <w:p w:rsidR="00000000" w:rsidRDefault="000242E9">
      <w:pPr>
        <w:rPr>
          <w:rFonts w:eastAsia="Times New Roman"/>
        </w:rPr>
      </w:pPr>
      <w:r>
        <w:rPr>
          <w:rFonts w:eastAsia="Times New Roman"/>
        </w:rPr>
        <w:pict>
          <v:rect id="_x0000_i1061" style="width:0;height:1.5pt" o:hralign="center" o:hrstd="t" o:hr="t" fillcolor="#a0a0a0" stroked="f"/>
        </w:pict>
      </w:r>
    </w:p>
    <w:p w:rsidR="00000000" w:rsidRDefault="000242E9">
      <w:pPr>
        <w:jc w:val="both"/>
        <w:divId w:val="173034400"/>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73034400"/>
        <w:rPr>
          <w:rFonts w:eastAsia="Times New Roman"/>
        </w:rPr>
      </w:pPr>
    </w:p>
    <w:p w:rsidR="00000000" w:rsidRDefault="000242E9">
      <w:pPr>
        <w:jc w:val="both"/>
        <w:divId w:val="1463621850"/>
        <w:rPr>
          <w:rFonts w:eastAsia="Times New Roman"/>
        </w:rPr>
      </w:pPr>
      <w:r>
        <w:rPr>
          <w:rFonts w:eastAsia="Times New Roman"/>
          <w:color w:val="000000"/>
          <w:sz w:val="20"/>
          <w:szCs w:val="20"/>
        </w:rPr>
        <w:t>arrangements, or at all. If we were to issue additional equity securities in order to raise additional funds or pay inte</w:t>
      </w:r>
      <w:r>
        <w:rPr>
          <w:rFonts w:eastAsia="Times New Roman"/>
          <w:color w:val="000000"/>
          <w:sz w:val="20"/>
          <w:szCs w:val="20"/>
        </w:rPr>
        <w:t>rest on the Notes and Secured Term Note, further dilution to existing stockholders could occur.</w:t>
      </w:r>
    </w:p>
    <w:p w:rsidR="00000000" w:rsidRDefault="000242E9">
      <w:pPr>
        <w:jc w:val="both"/>
        <w:divId w:val="1668627557"/>
        <w:rPr>
          <w:rFonts w:eastAsia="Times New Roman"/>
        </w:rPr>
      </w:pPr>
      <w:r>
        <w:rPr>
          <w:rFonts w:eastAsia="Times New Roman"/>
          <w:b/>
          <w:bCs/>
          <w:i/>
          <w:iCs/>
          <w:color w:val="000000"/>
          <w:sz w:val="20"/>
          <w:szCs w:val="20"/>
        </w:rPr>
        <w:t>Off-Balance Sheet Arrangements</w:t>
      </w:r>
    </w:p>
    <w:p w:rsidR="00000000" w:rsidRDefault="000242E9">
      <w:pPr>
        <w:jc w:val="both"/>
        <w:divId w:val="302587308"/>
        <w:rPr>
          <w:rFonts w:eastAsia="Times New Roman"/>
        </w:rPr>
      </w:pPr>
      <w:r>
        <w:rPr>
          <w:rFonts w:eastAsia="Times New Roman"/>
          <w:color w:val="000000"/>
          <w:sz w:val="20"/>
          <w:szCs w:val="20"/>
        </w:rPr>
        <w:t>We have no material off-balance sheet arrangements (as defined in Item 303 of Regulation S-K) other than certain purchase obligat</w:t>
      </w:r>
      <w:r>
        <w:rPr>
          <w:rFonts w:eastAsia="Times New Roman"/>
          <w:color w:val="000000"/>
          <w:sz w:val="20"/>
          <w:szCs w:val="20"/>
        </w:rPr>
        <w:t xml:space="preserve">ions with MVPDs, which are disclosed in the Contractual Payment Obligations table above. </w:t>
      </w:r>
    </w:p>
    <w:p w:rsidR="00000000" w:rsidRDefault="000242E9">
      <w:pPr>
        <w:jc w:val="both"/>
        <w:divId w:val="1732119536"/>
        <w:rPr>
          <w:rFonts w:eastAsia="Times New Roman"/>
        </w:rPr>
      </w:pPr>
      <w:r>
        <w:rPr>
          <w:rFonts w:eastAsia="Times New Roman"/>
          <w:b/>
          <w:bCs/>
          <w:color w:val="000000"/>
          <w:sz w:val="20"/>
          <w:szCs w:val="20"/>
        </w:rPr>
        <w:t>Critical Accounting Policies</w:t>
      </w:r>
    </w:p>
    <w:p w:rsidR="00000000" w:rsidRDefault="000242E9">
      <w:pPr>
        <w:jc w:val="both"/>
        <w:divId w:val="100074665"/>
        <w:rPr>
          <w:rFonts w:eastAsia="Times New Roman"/>
        </w:rPr>
      </w:pPr>
      <w:r>
        <w:rPr>
          <w:rFonts w:eastAsia="Times New Roman"/>
          <w:color w:val="000000"/>
          <w:sz w:val="20"/>
          <w:szCs w:val="20"/>
        </w:rPr>
        <w:t>Our discussion and analysis of our financial condition and results of operations are based on our Condensed Consolidated Financial Statem</w:t>
      </w:r>
      <w:r>
        <w:rPr>
          <w:rFonts w:eastAsia="Times New Roman"/>
          <w:color w:val="000000"/>
          <w:sz w:val="20"/>
          <w:szCs w:val="20"/>
        </w:rPr>
        <w:t>ents, which have been prepared in accordance with GAAP. The preparation of these financial statements requires us to make estimates, assumptions and judgments that affect the amounts reported in our Condensed Consolidated Financial Statements and the accom</w:t>
      </w:r>
      <w:r>
        <w:rPr>
          <w:rFonts w:eastAsia="Times New Roman"/>
          <w:color w:val="000000"/>
          <w:sz w:val="20"/>
          <w:szCs w:val="20"/>
        </w:rPr>
        <w:t>panying Notes to Condensed Consolidated Financial Statements. We base our estimates on historical experience and on various other assumptions that we believe to be reasonable under the circumstances, including (with respect to the three and nine months end</w:t>
      </w:r>
      <w:r>
        <w:rPr>
          <w:rFonts w:eastAsia="Times New Roman"/>
          <w:color w:val="000000"/>
          <w:sz w:val="20"/>
          <w:szCs w:val="20"/>
        </w:rPr>
        <w:t>ed September 30, 2020) the ongoing and potential impacts of the COVID-19 pandemic and related government mandates and restrictions. Actual results may differ from these estimates.</w:t>
      </w:r>
    </w:p>
    <w:p w:rsidR="00000000" w:rsidRDefault="000242E9">
      <w:pPr>
        <w:jc w:val="both"/>
        <w:divId w:val="1262881461"/>
        <w:rPr>
          <w:rFonts w:eastAsia="Times New Roman"/>
        </w:rPr>
      </w:pPr>
      <w:r>
        <w:rPr>
          <w:rFonts w:eastAsia="Times New Roman"/>
          <w:color w:val="000000"/>
          <w:sz w:val="20"/>
          <w:szCs w:val="20"/>
        </w:rPr>
        <w:t>Our critical accounting policies are those that are both material to the pre</w:t>
      </w:r>
      <w:r>
        <w:rPr>
          <w:rFonts w:eastAsia="Times New Roman"/>
          <w:color w:val="000000"/>
          <w:sz w:val="20"/>
          <w:szCs w:val="20"/>
        </w:rPr>
        <w:t>sentation of our financial condition and results of operations and require management's most subjective and complex judgments. Other than our accounting policies related to the impairment charges recorded for right-of-use and long-lived assets (which relat</w:t>
      </w:r>
      <w:r>
        <w:rPr>
          <w:rFonts w:eastAsia="Times New Roman"/>
          <w:color w:val="000000"/>
          <w:sz w:val="20"/>
          <w:szCs w:val="20"/>
        </w:rPr>
        <w:t>e to the impact of the COVID-19 pandemic on local real estate markets), there have been no material changes to our critical accounting policies and estimates during the three and nine months ended September 30, 2020 as compared to the critical accounting p</w:t>
      </w:r>
      <w:r>
        <w:rPr>
          <w:rFonts w:eastAsia="Times New Roman"/>
          <w:color w:val="000000"/>
          <w:sz w:val="20"/>
          <w:szCs w:val="20"/>
        </w:rPr>
        <w:t>olicies and estimates disclosed in our </w:t>
      </w:r>
      <w:hyperlink r:id="rId13" w:history="1">
        <w:r>
          <w:rPr>
            <w:rStyle w:val="a3"/>
            <w:rFonts w:eastAsia="Times New Roman"/>
            <w:sz w:val="20"/>
            <w:szCs w:val="20"/>
          </w:rPr>
          <w:t>2019 10-K</w:t>
        </w:r>
      </w:hyperlink>
      <w:r>
        <w:rPr>
          <w:rFonts w:eastAsia="Times New Roman"/>
          <w:color w:val="000000"/>
          <w:sz w:val="20"/>
          <w:szCs w:val="20"/>
        </w:rPr>
        <w:t>.</w:t>
      </w:r>
    </w:p>
    <w:p w:rsidR="00000000" w:rsidRDefault="000242E9">
      <w:pPr>
        <w:jc w:val="both"/>
        <w:divId w:val="1017928896"/>
        <w:rPr>
          <w:rFonts w:eastAsia="Times New Roman"/>
        </w:rPr>
      </w:pPr>
      <w:r>
        <w:rPr>
          <w:rFonts w:eastAsia="Times New Roman"/>
          <w:b/>
          <w:bCs/>
          <w:i/>
          <w:iCs/>
          <w:color w:val="000000"/>
          <w:sz w:val="20"/>
          <w:szCs w:val="20"/>
        </w:rPr>
        <w:t>Impairment of Right-of-use ("ROU") and Long-lived Assets</w:t>
      </w:r>
    </w:p>
    <w:p w:rsidR="00000000" w:rsidRDefault="000242E9">
      <w:pPr>
        <w:jc w:val="both"/>
        <w:divId w:val="1627005146"/>
        <w:rPr>
          <w:rFonts w:eastAsia="Times New Roman"/>
        </w:rPr>
      </w:pPr>
      <w:r>
        <w:rPr>
          <w:rFonts w:eastAsia="Times New Roman"/>
          <w:color w:val="000000"/>
          <w:sz w:val="20"/>
          <w:szCs w:val="20"/>
        </w:rPr>
        <w:t xml:space="preserve">We apply the provisions of Accounting Standards </w:t>
      </w:r>
      <w:r>
        <w:rPr>
          <w:rFonts w:eastAsia="Times New Roman"/>
          <w:color w:val="000000"/>
          <w:sz w:val="20"/>
          <w:szCs w:val="20"/>
        </w:rPr>
        <w:t>Codification ("ASC") 360, </w:t>
      </w:r>
      <w:r>
        <w:rPr>
          <w:rFonts w:eastAsia="Times New Roman"/>
          <w:i/>
          <w:iCs/>
          <w:color w:val="000000"/>
          <w:sz w:val="20"/>
          <w:szCs w:val="20"/>
        </w:rPr>
        <w:t>Property, Plant and Equipment</w:t>
      </w:r>
      <w:r>
        <w:rPr>
          <w:rFonts w:eastAsia="Times New Roman"/>
          <w:color w:val="000000"/>
          <w:sz w:val="20"/>
          <w:szCs w:val="20"/>
        </w:rPr>
        <w:t xml:space="preserve">, to determine whether our ROU and related long-lived assets may be impaired. We evaluate our ROU and long-lived assets for impairment whenever events or changes in circumstances indicate the carrying </w:t>
      </w:r>
      <w:r>
        <w:rPr>
          <w:rFonts w:eastAsia="Times New Roman"/>
          <w:color w:val="000000"/>
          <w:sz w:val="20"/>
          <w:szCs w:val="20"/>
        </w:rPr>
        <w:t>value of such assets may not be recoverable. For facility lease ROU and related long-lived assets, we compare the estimated undiscounted cash flows generated by a sublease to the current carrying value of the ROU and related long-lived assets. If the undis</w:t>
      </w:r>
      <w:r>
        <w:rPr>
          <w:rFonts w:eastAsia="Times New Roman"/>
          <w:color w:val="000000"/>
          <w:sz w:val="20"/>
          <w:szCs w:val="20"/>
        </w:rPr>
        <w:t>counted cash flows are less than the carrying value of the ROU and related long-lived assets, we record an impairment loss equal to the excess of the ROU and long-lived assets' carrying value over their fair value consistent with other long-lived assets.</w:t>
      </w:r>
    </w:p>
    <w:p w:rsidR="00000000" w:rsidRDefault="000242E9">
      <w:pPr>
        <w:jc w:val="both"/>
        <w:divId w:val="1382903248"/>
        <w:rPr>
          <w:rFonts w:eastAsia="Times New Roman"/>
        </w:rPr>
      </w:pPr>
      <w:r>
        <w:rPr>
          <w:rFonts w:eastAsia="Times New Roman"/>
          <w:color w:val="000000"/>
          <w:sz w:val="20"/>
          <w:szCs w:val="20"/>
        </w:rPr>
        <w:t>W</w:t>
      </w:r>
      <w:r>
        <w:rPr>
          <w:rFonts w:eastAsia="Times New Roman"/>
          <w:color w:val="000000"/>
          <w:sz w:val="20"/>
          <w:szCs w:val="20"/>
        </w:rPr>
        <w:t>e performed an interim analysis as of March 31, 2020, as changes in market conditions indicated the carrying value of certain facility lease ROU and other long-lived assets may not be recoverable, and determined certain ROU assets, and related leasehold im</w:t>
      </w:r>
      <w:r>
        <w:rPr>
          <w:rFonts w:eastAsia="Times New Roman"/>
          <w:color w:val="000000"/>
          <w:sz w:val="20"/>
          <w:szCs w:val="20"/>
        </w:rPr>
        <w:t>provements, were impaired. We recorded a $4.7 million impairment charge related to our ROU assets, and related leasehold improvements, for the three months ended March 31, 2020, with corresponding adjustments of $2.8 million and $1.9 million to the operati</w:t>
      </w:r>
      <w:r>
        <w:rPr>
          <w:rFonts w:eastAsia="Times New Roman"/>
          <w:color w:val="000000"/>
          <w:sz w:val="20"/>
          <w:szCs w:val="20"/>
        </w:rPr>
        <w:t>ng lease ROU asset and property and equipment, net line items, respectively, in the Condensed Consolidated Balance Sheet as of March 31, 2020. The impairment charge was driven by changes in our projected undiscounted cash flows for certain properties, prim</w:t>
      </w:r>
      <w:r>
        <w:rPr>
          <w:rFonts w:eastAsia="Times New Roman"/>
          <w:color w:val="000000"/>
          <w:sz w:val="20"/>
          <w:szCs w:val="20"/>
        </w:rPr>
        <w:t>arily as a result of changes in the real estate market related to the COVID-19 pandemic that led to an increase in the estimated marketing time, and a reduction of expected receipts, for properties currently on the market for sublease. The fair value of th</w:t>
      </w:r>
      <w:r>
        <w:rPr>
          <w:rFonts w:eastAsia="Times New Roman"/>
          <w:color w:val="000000"/>
          <w:sz w:val="20"/>
          <w:szCs w:val="20"/>
        </w:rPr>
        <w:t xml:space="preserve">ese ROU assets, and related leasehold improvements, was estimated using an income approach and a discount rate of 12.0%. </w:t>
      </w:r>
    </w:p>
    <w:p w:rsidR="00000000" w:rsidRDefault="000242E9">
      <w:pPr>
        <w:jc w:val="both"/>
        <w:divId w:val="1933009893"/>
        <w:rPr>
          <w:rFonts w:eastAsia="Times New Roman"/>
        </w:rPr>
      </w:pPr>
      <w:r>
        <w:rPr>
          <w:rFonts w:eastAsia="Times New Roman"/>
          <w:color w:val="000000"/>
          <w:sz w:val="20"/>
          <w:szCs w:val="20"/>
        </w:rPr>
        <w:t>Although we believe that the carrying values of our long-lived assets are appropriately stated, future changes in strategy or market conditions, significant technological developments or significant changes in legal or regulatory factors could significantl</w:t>
      </w:r>
      <w:r>
        <w:rPr>
          <w:rFonts w:eastAsia="Times New Roman"/>
          <w:color w:val="000000"/>
          <w:sz w:val="20"/>
          <w:szCs w:val="20"/>
        </w:rPr>
        <w:t>y impact these judgments and require adjustments to recorded asset balances.</w:t>
      </w:r>
    </w:p>
    <w:p w:rsidR="00000000" w:rsidRDefault="000242E9">
      <w:pPr>
        <w:jc w:val="both"/>
        <w:divId w:val="10107773"/>
        <w:rPr>
          <w:rFonts w:eastAsia="Times New Roman"/>
        </w:rPr>
      </w:pPr>
    </w:p>
    <w:p w:rsidR="00000000" w:rsidRDefault="000242E9">
      <w:pPr>
        <w:jc w:val="both"/>
        <w:divId w:val="985165667"/>
        <w:rPr>
          <w:rFonts w:eastAsia="Times New Roman"/>
        </w:rPr>
      </w:pPr>
    </w:p>
    <w:p w:rsidR="00000000" w:rsidRDefault="000242E9">
      <w:pPr>
        <w:jc w:val="both"/>
        <w:divId w:val="1146245218"/>
        <w:rPr>
          <w:rFonts w:eastAsia="Times New Roman"/>
        </w:rPr>
      </w:pPr>
    </w:p>
    <w:p w:rsidR="00000000" w:rsidRDefault="000242E9">
      <w:pPr>
        <w:jc w:val="center"/>
        <w:divId w:val="1914585718"/>
        <w:rPr>
          <w:rFonts w:eastAsia="Times New Roman"/>
        </w:rPr>
      </w:pPr>
      <w:r>
        <w:rPr>
          <w:rFonts w:eastAsia="Times New Roman"/>
          <w:color w:val="000000"/>
          <w:sz w:val="20"/>
          <w:szCs w:val="20"/>
        </w:rPr>
        <w:t>35</w:t>
      </w:r>
    </w:p>
    <w:p w:rsidR="00000000" w:rsidRDefault="000242E9">
      <w:pPr>
        <w:rPr>
          <w:rFonts w:eastAsia="Times New Roman"/>
        </w:rPr>
      </w:pPr>
      <w:r>
        <w:rPr>
          <w:rFonts w:eastAsia="Times New Roman"/>
        </w:rPr>
        <w:pict>
          <v:rect id="_x0000_i1062" style="width:0;height:1.5pt" o:hralign="center" o:hrstd="t" o:hr="t" fillcolor="#a0a0a0" stroked="f"/>
        </w:pict>
      </w:r>
    </w:p>
    <w:p w:rsidR="00000000" w:rsidRDefault="000242E9">
      <w:pPr>
        <w:jc w:val="both"/>
        <w:divId w:val="25371555"/>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5371555"/>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9"/>
        <w:gridCol w:w="688"/>
        <w:gridCol w:w="36"/>
        <w:gridCol w:w="49"/>
        <w:gridCol w:w="6991"/>
        <w:gridCol w:w="36"/>
      </w:tblGrid>
      <w:tr w:rsidR="00000000">
        <w:trPr>
          <w:divId w:val="295454130"/>
        </w:trPr>
        <w:tc>
          <w:tcPr>
            <w:tcW w:w="50" w:type="pct"/>
            <w:vAlign w:val="center"/>
            <w:hideMark/>
          </w:tcPr>
          <w:p w:rsidR="00000000" w:rsidRDefault="000242E9">
            <w:pPr>
              <w:jc w:val="both"/>
              <w:rPr>
                <w:rFonts w:eastAsia="Times New Roman"/>
              </w:rPr>
            </w:pPr>
          </w:p>
        </w:tc>
        <w:tc>
          <w:tcPr>
            <w:tcW w:w="43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45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295454130"/>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QUANTITATIVE AND QUALITATIVE DISCLOSURES ABOUT MARKET RISK</w:t>
            </w:r>
          </w:p>
        </w:tc>
      </w:tr>
    </w:tbl>
    <w:p w:rsidR="00000000" w:rsidRDefault="000242E9">
      <w:pPr>
        <w:jc w:val="both"/>
        <w:divId w:val="1303853836"/>
        <w:rPr>
          <w:rFonts w:eastAsia="Times New Roman"/>
        </w:rPr>
      </w:pPr>
      <w:r>
        <w:rPr>
          <w:rFonts w:eastAsia="Times New Roman"/>
          <w:color w:val="000000"/>
          <w:sz w:val="20"/>
          <w:szCs w:val="20"/>
        </w:rPr>
        <w:t xml:space="preserve">Market risk represents the risk of loss that may impact our financial position due to adverse changes in financial market prices and rates. We are subject to interest rate risk in connection with the Notes, and we hold derivative financial instruments and </w:t>
      </w:r>
      <w:r>
        <w:rPr>
          <w:rFonts w:eastAsia="Times New Roman"/>
          <w:color w:val="000000"/>
          <w:sz w:val="20"/>
          <w:szCs w:val="20"/>
        </w:rPr>
        <w:t>have outstanding warrants that are subject to market risk. We also have foreign currency exchange rate risk from our global operations, although we do not believe this risk to be significant. Except as set forth below, there have been no material changes i</w:t>
      </w:r>
      <w:r>
        <w:rPr>
          <w:rFonts w:eastAsia="Times New Roman"/>
          <w:color w:val="000000"/>
          <w:sz w:val="20"/>
          <w:szCs w:val="20"/>
        </w:rPr>
        <w:t xml:space="preserve">n our exposure to market risk during the three and nine months ended September 30, 2020 as compared to our market risk disclosures set forth in </w:t>
      </w:r>
      <w:hyperlink r:id="rId14" w:anchor="s812518ADE712562398C9FFA452CC0A3E"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2019 10-K.</w:t>
      </w:r>
    </w:p>
    <w:p w:rsidR="00000000" w:rsidRDefault="000242E9">
      <w:pPr>
        <w:jc w:val="both"/>
        <w:divId w:val="1213537080"/>
        <w:rPr>
          <w:rFonts w:eastAsia="Times New Roman"/>
        </w:rPr>
      </w:pPr>
      <w:r>
        <w:rPr>
          <w:rFonts w:eastAsia="Times New Roman"/>
          <w:b/>
          <w:bCs/>
          <w:color w:val="000000"/>
          <w:sz w:val="20"/>
          <w:szCs w:val="20"/>
        </w:rPr>
        <w:t>Interest rate risk</w:t>
      </w:r>
    </w:p>
    <w:p w:rsidR="00000000" w:rsidRDefault="000242E9">
      <w:pPr>
        <w:jc w:val="both"/>
        <w:divId w:val="1233001205"/>
        <w:rPr>
          <w:rFonts w:eastAsia="Times New Roman"/>
        </w:rPr>
      </w:pPr>
      <w:r>
        <w:rPr>
          <w:rFonts w:eastAsia="Times New Roman"/>
          <w:color w:val="000000"/>
          <w:sz w:val="20"/>
          <w:szCs w:val="20"/>
        </w:rPr>
        <w:t>As a result of having $204.0 million aggregate principal amount of Notes outstanding, which are convertible into shar</w:t>
      </w:r>
      <w:r>
        <w:rPr>
          <w:rFonts w:eastAsia="Times New Roman"/>
          <w:color w:val="000000"/>
          <w:sz w:val="20"/>
          <w:szCs w:val="20"/>
        </w:rPr>
        <w:t>es of Common Stock at a conversion price of $31.29 per share (the "Conversion Price"), we are subject to interest rate risk. As of September 30, 2020, the interest rate on the Notes was 12.0% per year. The interest rate reset on January 30, 2020 and will r</w:t>
      </w:r>
      <w:r>
        <w:rPr>
          <w:rFonts w:eastAsia="Times New Roman"/>
          <w:color w:val="000000"/>
          <w:sz w:val="20"/>
          <w:szCs w:val="20"/>
        </w:rPr>
        <w:t>emain at 12.0% (subject to certain conditions) until February 1, 2021 (the "Interest Reset Date"). On the Interest Reset Date, the interest rate will reset based on the then-applicable Conversion Premium which is calculated by dividing the Conversion Price</w:t>
      </w:r>
      <w:r>
        <w:rPr>
          <w:rFonts w:eastAsia="Times New Roman"/>
          <w:color w:val="000000"/>
          <w:sz w:val="20"/>
          <w:szCs w:val="20"/>
        </w:rPr>
        <w:t xml:space="preserve"> by the arithmetic average of the volume-weighted average trading prices of our Common Stock on each of the ten consecutive trading days immediately preceding the applicable Interest Reset Date (the "VWAP"). The interest rate is then determined in accordan</w:t>
      </w:r>
      <w:r>
        <w:rPr>
          <w:rFonts w:eastAsia="Times New Roman"/>
          <w:color w:val="000000"/>
          <w:sz w:val="20"/>
          <w:szCs w:val="20"/>
        </w:rPr>
        <w:t>ce with the table below, which includes theoretical VWAP calculations: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2598"/>
        <w:gridCol w:w="36"/>
        <w:gridCol w:w="36"/>
        <w:gridCol w:w="36"/>
        <w:gridCol w:w="36"/>
        <w:gridCol w:w="48"/>
        <w:gridCol w:w="2609"/>
        <w:gridCol w:w="36"/>
        <w:gridCol w:w="36"/>
        <w:gridCol w:w="36"/>
        <w:gridCol w:w="36"/>
        <w:gridCol w:w="61"/>
        <w:gridCol w:w="2596"/>
        <w:gridCol w:w="36"/>
      </w:tblGrid>
      <w:tr w:rsidR="00000000">
        <w:trPr>
          <w:divId w:val="1665277044"/>
          <w:jc w:val="center"/>
        </w:trPr>
        <w:tc>
          <w:tcPr>
            <w:tcW w:w="50" w:type="pct"/>
            <w:vAlign w:val="center"/>
            <w:hideMark/>
          </w:tcPr>
          <w:p w:rsidR="00000000" w:rsidRDefault="000242E9">
            <w:pPr>
              <w:jc w:val="both"/>
              <w:rPr>
                <w:rFonts w:eastAsia="Times New Roman"/>
              </w:rPr>
            </w:pPr>
          </w:p>
        </w:tc>
        <w:tc>
          <w:tcPr>
            <w:tcW w:w="159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59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7"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593"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 xml:space="preserve">If the Conversion Premium </w:t>
            </w:r>
            <w:r>
              <w:rPr>
                <w:rFonts w:eastAsia="Times New Roman"/>
                <w:b/>
                <w:bCs/>
                <w:color w:val="000000"/>
                <w:sz w:val="16"/>
                <w:szCs w:val="16"/>
              </w:rPr>
              <w:br/>
              <w:t>(as of the applicable </w:t>
            </w:r>
            <w:r>
              <w:rPr>
                <w:rFonts w:eastAsia="Times New Roman"/>
                <w:b/>
                <w:bCs/>
                <w:color w:val="000000"/>
                <w:sz w:val="16"/>
                <w:szCs w:val="16"/>
              </w:rPr>
              <w:br/>
              <w:t>Interest Reset Date) is: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Implied VWAP</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b/>
                <w:bCs/>
                <w:color w:val="000000"/>
                <w:sz w:val="16"/>
                <w:szCs w:val="16"/>
              </w:rPr>
              <w:t>Then the Interest Rate from</w:t>
            </w:r>
            <w:r>
              <w:rPr>
                <w:rFonts w:eastAsia="Times New Roman"/>
                <w:b/>
                <w:bCs/>
                <w:color w:val="000000"/>
                <w:sz w:val="16"/>
                <w:szCs w:val="16"/>
              </w:rPr>
              <w:br/>
              <w:t>the applicable Interest Reset</w:t>
            </w:r>
            <w:r>
              <w:rPr>
                <w:rFonts w:eastAsia="Times New Roman"/>
                <w:b/>
                <w:bCs/>
                <w:color w:val="000000"/>
                <w:sz w:val="16"/>
                <w:szCs w:val="16"/>
              </w:rPr>
              <w:br/>
            </w:r>
            <w:r>
              <w:rPr>
                <w:rFonts w:eastAsia="Times New Roman"/>
                <w:b/>
                <w:bCs/>
                <w:color w:val="000000"/>
                <w:sz w:val="16"/>
                <w:szCs w:val="16"/>
              </w:rPr>
              <w:t>Date until the next</w:t>
            </w:r>
            <w:r>
              <w:rPr>
                <w:rFonts w:eastAsia="Times New Roman"/>
                <w:b/>
                <w:bCs/>
                <w:color w:val="000000"/>
                <w:sz w:val="16"/>
                <w:szCs w:val="16"/>
              </w:rPr>
              <w:br/>
              <w:t>subsequent Interest Reset</w:t>
            </w:r>
            <w:r>
              <w:rPr>
                <w:rFonts w:eastAsia="Times New Roman"/>
                <w:b/>
                <w:bCs/>
                <w:color w:val="000000"/>
                <w:sz w:val="16"/>
                <w:szCs w:val="16"/>
              </w:rPr>
              <w:br/>
              <w:t>Date shall be:</w:t>
            </w:r>
          </w:p>
        </w:tc>
      </w:tr>
      <w:tr w:rsidR="00000000">
        <w:trPr>
          <w:divId w:val="166527704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1.0 or less</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$31.29 or higher</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4.0%</w:t>
            </w: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1.05</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$29.80</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4.3%</w:t>
            </w:r>
          </w:p>
        </w:tc>
      </w:tr>
      <w:tr w:rsidR="00000000">
        <w:trPr>
          <w:divId w:val="166527704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1.10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$28.45</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4.7%</w:t>
            </w: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1.15</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$27.21</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5.0%</w:t>
            </w:r>
          </w:p>
        </w:tc>
      </w:tr>
      <w:tr w:rsidR="00000000">
        <w:trPr>
          <w:divId w:val="166527704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$26.08</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5.3%</w:t>
            </w: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1.25</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$25.03</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5.7%</w:t>
            </w:r>
          </w:p>
        </w:tc>
      </w:tr>
      <w:tr w:rsidR="00000000">
        <w:trPr>
          <w:divId w:val="166527704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1.30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$24.07</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6.0%</w:t>
            </w: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1.35</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$23.18</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8.0%</w:t>
            </w:r>
          </w:p>
        </w:tc>
      </w:tr>
      <w:tr w:rsidR="00000000">
        <w:trPr>
          <w:divId w:val="1665277044"/>
          <w:jc w:val="center"/>
        </w:trPr>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1.40</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$22.35</w:t>
            </w:r>
          </w:p>
        </w:tc>
        <w:tc>
          <w:tcPr>
            <w:tcW w:w="0" w:type="auto"/>
            <w:gridSpan w:val="3"/>
            <w:shd w:val="clear" w:color="auto" w:fill="CCEEFF"/>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10.0%</w:t>
            </w:r>
          </w:p>
        </w:tc>
      </w:tr>
      <w:tr w:rsidR="00000000">
        <w:trPr>
          <w:divId w:val="1665277044"/>
          <w:jc w:val="center"/>
        </w:trPr>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1.45 or higher</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$21.58 or less</w:t>
            </w:r>
          </w:p>
        </w:tc>
        <w:tc>
          <w:tcPr>
            <w:tcW w:w="0" w:type="auto"/>
            <w:gridSpan w:val="3"/>
            <w:tcMar>
              <w:top w:w="0" w:type="dxa"/>
              <w:left w:w="20" w:type="dxa"/>
              <w:bottom w:w="0" w:type="dxa"/>
              <w:right w:w="20" w:type="dxa"/>
            </w:tcMar>
            <w:vAlign w:val="center"/>
            <w:hideMark/>
          </w:tcPr>
          <w:p w:rsidR="00000000" w:rsidRDefault="000242E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242E9">
            <w:pPr>
              <w:jc w:val="center"/>
              <w:rPr>
                <w:rFonts w:eastAsia="Times New Roman"/>
              </w:rPr>
            </w:pPr>
            <w:r>
              <w:rPr>
                <w:rFonts w:eastAsia="Times New Roman"/>
                <w:color w:val="000000"/>
                <w:sz w:val="18"/>
                <w:szCs w:val="18"/>
              </w:rPr>
              <w:t>12.0%</w:t>
            </w:r>
          </w:p>
        </w:tc>
      </w:tr>
    </w:tbl>
    <w:p w:rsidR="00000000" w:rsidRDefault="000242E9">
      <w:pPr>
        <w:jc w:val="both"/>
        <w:divId w:val="804784810"/>
        <w:rPr>
          <w:rFonts w:eastAsia="Times New Roman"/>
        </w:rPr>
      </w:pPr>
      <w:r>
        <w:rPr>
          <w:rFonts w:eastAsia="Times New Roman"/>
          <w:color w:val="000000"/>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0242E9">
      <w:pPr>
        <w:jc w:val="both"/>
        <w:divId w:val="590086157"/>
        <w:rPr>
          <w:rFonts w:eastAsia="Times New Roman"/>
        </w:rPr>
      </w:pPr>
      <w:r>
        <w:rPr>
          <w:rFonts w:eastAsia="Times New Roman"/>
          <w:color w:val="000000"/>
          <w:sz w:val="20"/>
          <w:szCs w:val="20"/>
        </w:rPr>
        <w:t xml:space="preserve">As discussed in </w:t>
      </w:r>
      <w:hyperlink w:anchor="if7a518a588154f7ab52f3429da641a28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Long-term Debt</w:t>
      </w:r>
      <w:r>
        <w:rPr>
          <w:rFonts w:eastAsia="Times New Roman"/>
          <w:color w:val="000000"/>
          <w:sz w:val="20"/>
          <w:szCs w:val="20"/>
        </w:rPr>
        <w:t>, we have the ability, subject to certain conditions, to pay interest on the Notes through the issuance of PIK Interest Shares. We elected to pay the interest due on January 2, 2020, April 1, 2020 and July 1, 2020 in cash. We elected to pay the interest du</w:t>
      </w:r>
      <w:r>
        <w:rPr>
          <w:rFonts w:eastAsia="Times New Roman"/>
          <w:color w:val="000000"/>
          <w:sz w:val="20"/>
          <w:szCs w:val="20"/>
        </w:rPr>
        <w:t>e on October 1, 2020 through a combination of cash and the issuance of PIK Interest Shares.</w:t>
      </w:r>
    </w:p>
    <w:p w:rsidR="00000000" w:rsidRDefault="000242E9">
      <w:pPr>
        <w:jc w:val="both"/>
        <w:divId w:val="38555021"/>
        <w:rPr>
          <w:rFonts w:eastAsia="Times New Roman"/>
        </w:rPr>
      </w:pPr>
      <w:r>
        <w:rPr>
          <w:rFonts w:eastAsia="Times New Roman"/>
          <w:b/>
          <w:bCs/>
          <w:color w:val="000000"/>
          <w:sz w:val="20"/>
          <w:szCs w:val="20"/>
        </w:rPr>
        <w:t>Interest rate reset derivative financial instrument, warrants liability financial instrument, and foreign currency risk</w:t>
      </w:r>
    </w:p>
    <w:p w:rsidR="00000000" w:rsidRDefault="000242E9">
      <w:pPr>
        <w:jc w:val="both"/>
        <w:divId w:val="827599001"/>
        <w:rPr>
          <w:rFonts w:eastAsia="Times New Roman"/>
        </w:rPr>
      </w:pPr>
      <w:r>
        <w:rPr>
          <w:rFonts w:eastAsia="Times New Roman"/>
          <w:color w:val="000000"/>
          <w:sz w:val="20"/>
          <w:szCs w:val="20"/>
        </w:rPr>
        <w:t>For discussion of market risk associated wit</w:t>
      </w:r>
      <w:r>
        <w:rPr>
          <w:rFonts w:eastAsia="Times New Roman"/>
          <w:color w:val="000000"/>
          <w:sz w:val="20"/>
          <w:szCs w:val="20"/>
        </w:rPr>
        <w:t xml:space="preserve">h our interest rate reset derivative financial instrument, warrants liability financial instrument, and foreign currency risk, refer to </w:t>
      </w:r>
      <w:hyperlink r:id="rId15" w:anchor="s812518ADE712562398C9FFA452CC0A3E" w:history="1">
        <w:r>
          <w:rPr>
            <w:rStyle w:val="a3"/>
            <w:rFonts w:eastAsia="Times New Roman"/>
            <w:sz w:val="20"/>
            <w:szCs w:val="20"/>
          </w:rPr>
          <w:t>Item 7A</w:t>
        </w:r>
      </w:hyperlink>
      <w:r>
        <w:rPr>
          <w:rFonts w:eastAsia="Times New Roman"/>
          <w:color w:val="000000"/>
          <w:sz w:val="20"/>
          <w:szCs w:val="20"/>
        </w:rPr>
        <w:t xml:space="preserve">, "Quantitative and Qualitative Disclosures About Market Risk" in the 2019 10-K. </w:t>
      </w:r>
    </w:p>
    <w:p w:rsidR="00000000" w:rsidRDefault="000242E9">
      <w:pPr>
        <w:jc w:val="center"/>
        <w:divId w:val="244152451"/>
        <w:rPr>
          <w:rFonts w:eastAsia="Times New Roman"/>
        </w:rPr>
      </w:pPr>
      <w:r>
        <w:rPr>
          <w:rFonts w:eastAsia="Times New Roman"/>
          <w:color w:val="000000"/>
          <w:sz w:val="20"/>
          <w:szCs w:val="20"/>
        </w:rPr>
        <w:t>36</w:t>
      </w:r>
    </w:p>
    <w:p w:rsidR="00000000" w:rsidRDefault="000242E9">
      <w:pPr>
        <w:rPr>
          <w:rFonts w:eastAsia="Times New Roman"/>
        </w:rPr>
      </w:pPr>
      <w:r>
        <w:rPr>
          <w:rFonts w:eastAsia="Times New Roman"/>
        </w:rPr>
        <w:pict>
          <v:rect id="_x0000_i1063" style="width:0;height:1.5pt" o:hralign="center" o:hrstd="t" o:hr="t" fillcolor="#a0a0a0" stroked="f"/>
        </w:pict>
      </w:r>
    </w:p>
    <w:p w:rsidR="00000000" w:rsidRDefault="000242E9">
      <w:pPr>
        <w:jc w:val="both"/>
        <w:divId w:val="1673802047"/>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673802047"/>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trPr>
          <w:divId w:val="1911571352"/>
        </w:trPr>
        <w:tc>
          <w:tcPr>
            <w:tcW w:w="50" w:type="pct"/>
            <w:vAlign w:val="center"/>
            <w:hideMark/>
          </w:tcPr>
          <w:p w:rsidR="00000000" w:rsidRDefault="000242E9">
            <w:pPr>
              <w:jc w:val="both"/>
              <w:rPr>
                <w:rFonts w:eastAsia="Times New Roman"/>
              </w:rPr>
            </w:pPr>
          </w:p>
        </w:tc>
        <w:tc>
          <w:tcPr>
            <w:tcW w:w="49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9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911571352"/>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CONTROLS AND PROCEDURES</w:t>
            </w:r>
          </w:p>
        </w:tc>
      </w:tr>
    </w:tbl>
    <w:p w:rsidR="00000000" w:rsidRDefault="000242E9">
      <w:pPr>
        <w:jc w:val="both"/>
        <w:divId w:val="1272012395"/>
        <w:rPr>
          <w:rFonts w:eastAsia="Times New Roman"/>
        </w:rPr>
      </w:pPr>
      <w:r>
        <w:rPr>
          <w:rFonts w:eastAsia="Times New Roman"/>
          <w:b/>
          <w:bCs/>
          <w:color w:val="000000"/>
          <w:sz w:val="20"/>
          <w:szCs w:val="20"/>
          <w:u w:val="single"/>
        </w:rPr>
        <w:t>Evaluation of Disclosure Controls and Procedures</w:t>
      </w:r>
    </w:p>
    <w:p w:rsidR="00000000" w:rsidRDefault="000242E9">
      <w:pPr>
        <w:jc w:val="both"/>
        <w:divId w:val="1122847247"/>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w:t>
      </w:r>
      <w:r>
        <w:rPr>
          <w:rFonts w:eastAsia="Times New Roman"/>
          <w:color w:val="000000"/>
          <w:sz w:val="20"/>
          <w:szCs w:val="20"/>
        </w:rPr>
        <w:t>cer and our principal financial officer, of the effectiveness of the design and operation of our disclosure controls and procedures, as defined in Rules 13a-15(e) and 15d-15(e) of the Exchange Act, as of September 30, 2020. Based on this evaluation, our pr</w:t>
      </w:r>
      <w:r>
        <w:rPr>
          <w:rFonts w:eastAsia="Times New Roman"/>
          <w:color w:val="000000"/>
          <w:sz w:val="20"/>
          <w:szCs w:val="20"/>
        </w:rPr>
        <w:t>incipal executive officer and principal financial officer concluded that as of September 30, 2020, these disclosure controls and procedures were effective to provide reasonable assurance that information required to be disclosed by us in the reports that w</w:t>
      </w:r>
      <w:r>
        <w:rPr>
          <w:rFonts w:eastAsia="Times New Roman"/>
          <w:color w:val="000000"/>
          <w:sz w:val="20"/>
          <w:szCs w:val="20"/>
        </w:rPr>
        <w:t>e file or submit under the Exchange Act is recorded, processed, summarized, and reported within the time periods specified in the SEC's rules and forms and to provide reasonable assurance that such information is accumulated and communicated to our managem</w:t>
      </w:r>
      <w:r>
        <w:rPr>
          <w:rFonts w:eastAsia="Times New Roman"/>
          <w:color w:val="000000"/>
          <w:sz w:val="20"/>
          <w:szCs w:val="20"/>
        </w:rPr>
        <w:t>ent, including our principal executive officer and principal financial officer, as appropriate to allow timely decisions regarding required disclosure.</w:t>
      </w:r>
    </w:p>
    <w:p w:rsidR="00000000" w:rsidRDefault="000242E9">
      <w:pPr>
        <w:jc w:val="both"/>
        <w:divId w:val="963468502"/>
        <w:rPr>
          <w:rFonts w:eastAsia="Times New Roman"/>
        </w:rPr>
      </w:pPr>
      <w:r>
        <w:rPr>
          <w:rFonts w:eastAsia="Times New Roman"/>
          <w:b/>
          <w:bCs/>
          <w:color w:val="000000"/>
          <w:sz w:val="20"/>
          <w:szCs w:val="20"/>
          <w:u w:val="single"/>
        </w:rPr>
        <w:t>Changes in Internal Control over Financial Reporting</w:t>
      </w:r>
    </w:p>
    <w:p w:rsidR="00000000" w:rsidRDefault="000242E9">
      <w:pPr>
        <w:jc w:val="both"/>
        <w:divId w:val="730152149"/>
        <w:rPr>
          <w:rFonts w:eastAsia="Times New Roman"/>
        </w:rPr>
      </w:pPr>
      <w:r>
        <w:rPr>
          <w:rFonts w:eastAsia="Times New Roman"/>
          <w:color w:val="000000"/>
          <w:sz w:val="20"/>
          <w:szCs w:val="20"/>
        </w:rPr>
        <w:t>Under Exchange Act Rules 13a-15(d) and 15d-15(d), m</w:t>
      </w:r>
      <w:r>
        <w:rPr>
          <w:rFonts w:eastAsia="Times New Roman"/>
          <w:color w:val="000000"/>
          <w:sz w:val="20"/>
          <w:szCs w:val="20"/>
        </w:rPr>
        <w:t>anagement is required to evaluate, with the participation of our principal executive officer and our principal financial officer, any changes in internal control over financial reporting that occurred during each fiscal quarter that materially affected, or</w:t>
      </w:r>
      <w:r>
        <w:rPr>
          <w:rFonts w:eastAsia="Times New Roman"/>
          <w:color w:val="000000"/>
          <w:sz w:val="20"/>
          <w:szCs w:val="20"/>
        </w:rPr>
        <w:t xml:space="preserve"> are reasonably likely to materially affect, our internal control over financial reporting. During the most recent fiscal quarter, there has not occurred any change in our internal control over financial reporting that has materially affected, or is reason</w:t>
      </w:r>
      <w:r>
        <w:rPr>
          <w:rFonts w:eastAsia="Times New Roman"/>
          <w:color w:val="000000"/>
          <w:sz w:val="20"/>
          <w:szCs w:val="20"/>
        </w:rPr>
        <w:t>ably likely to materially affect, our internal control over financial reporting. As of the date of this filing, we have not experienced a material change in our internal control over financial reporting related to the COVID-19 pandemic, including with resp</w:t>
      </w:r>
      <w:r>
        <w:rPr>
          <w:rFonts w:eastAsia="Times New Roman"/>
          <w:color w:val="000000"/>
          <w:sz w:val="20"/>
          <w:szCs w:val="20"/>
        </w:rPr>
        <w:t>ect to remote work arrangements for our employees. However, we will continue to monitor and assess circumstances related to the COVID-19 pandemic and our workforce to minimize any negative impact on the design and effectiveness of our internal control.</w:t>
      </w:r>
    </w:p>
    <w:p w:rsidR="00000000" w:rsidRDefault="000242E9">
      <w:pPr>
        <w:jc w:val="both"/>
        <w:divId w:val="1396127783"/>
        <w:rPr>
          <w:rFonts w:eastAsia="Times New Roman"/>
        </w:rPr>
      </w:pPr>
      <w:r>
        <w:rPr>
          <w:rFonts w:eastAsia="Times New Roman"/>
          <w:b/>
          <w:bCs/>
          <w:color w:val="000000"/>
          <w:sz w:val="20"/>
          <w:szCs w:val="20"/>
          <w:u w:val="single"/>
        </w:rPr>
        <w:t>Inh</w:t>
      </w:r>
      <w:r>
        <w:rPr>
          <w:rFonts w:eastAsia="Times New Roman"/>
          <w:b/>
          <w:bCs/>
          <w:color w:val="000000"/>
          <w:sz w:val="20"/>
          <w:szCs w:val="20"/>
          <w:u w:val="single"/>
        </w:rPr>
        <w:t>erent Limitation on the Effectiveness of Internal Controls</w:t>
      </w:r>
    </w:p>
    <w:p w:rsidR="00000000" w:rsidRDefault="000242E9">
      <w:pPr>
        <w:jc w:val="both"/>
        <w:divId w:val="1044985298"/>
        <w:rPr>
          <w:rFonts w:eastAsia="Times New Roman"/>
        </w:rPr>
      </w:pPr>
      <w:r>
        <w:rPr>
          <w:rFonts w:eastAsia="Times New Roman"/>
          <w:color w:val="000000"/>
          <w:sz w:val="20"/>
          <w:szCs w:val="20"/>
        </w:rPr>
        <w:t>The effectiveness of any system of internal control over financial reporting is subject to inherent limitations, including the exercise of judgment in designing, implementing, operating, and evaluating the controls and procedures, and the inability to elim</w:t>
      </w:r>
      <w:r>
        <w:rPr>
          <w:rFonts w:eastAsia="Times New Roman"/>
          <w:color w:val="000000"/>
          <w:sz w:val="20"/>
          <w:szCs w:val="20"/>
        </w:rPr>
        <w:t>inate misconduct completely. Accordingly, any system of internal control over financial reporting can only provide reasonable, not absolute, assurance that its objectives will be met. In addition, projections of any evaluation of effectiveness to future pe</w:t>
      </w:r>
      <w:r>
        <w:rPr>
          <w:rFonts w:eastAsia="Times New Roman"/>
          <w:color w:val="000000"/>
          <w:sz w:val="20"/>
          <w:szCs w:val="20"/>
        </w:rPr>
        <w:t>riods are subject to the risk that controls may become inadequate because of changes in conditions, or that the degree of compliance with the policies or procedures may deteriorate. We intend to continue to monitor and upgrade our internal controls as nece</w:t>
      </w:r>
      <w:r>
        <w:rPr>
          <w:rFonts w:eastAsia="Times New Roman"/>
          <w:color w:val="000000"/>
          <w:sz w:val="20"/>
          <w:szCs w:val="20"/>
        </w:rPr>
        <w:t>ssary or appropriate for our business, but we cannot assure that such improvements will be sufficient to provide us with effective internal control over financial reporting in future periods.</w:t>
      </w:r>
    </w:p>
    <w:p w:rsidR="00000000" w:rsidRDefault="000242E9">
      <w:pPr>
        <w:jc w:val="center"/>
        <w:divId w:val="1416514267"/>
        <w:rPr>
          <w:rFonts w:eastAsia="Times New Roman"/>
        </w:rPr>
      </w:pPr>
      <w:r>
        <w:rPr>
          <w:rFonts w:eastAsia="Times New Roman"/>
          <w:color w:val="000000"/>
          <w:sz w:val="20"/>
          <w:szCs w:val="20"/>
        </w:rPr>
        <w:t>37</w:t>
      </w:r>
    </w:p>
    <w:p w:rsidR="00000000" w:rsidRDefault="000242E9">
      <w:pPr>
        <w:rPr>
          <w:rFonts w:eastAsia="Times New Roman"/>
        </w:rPr>
      </w:pPr>
      <w:r>
        <w:rPr>
          <w:rFonts w:eastAsia="Times New Roman"/>
        </w:rPr>
        <w:pict>
          <v:rect id="_x0000_i1064" style="width:0;height:1.5pt" o:hralign="center" o:hrstd="t" o:hr="t" fillcolor="#a0a0a0" stroked="f"/>
        </w:pict>
      </w:r>
    </w:p>
    <w:p w:rsidR="00000000" w:rsidRDefault="000242E9">
      <w:pPr>
        <w:jc w:val="both"/>
        <w:divId w:val="154633434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546334344"/>
        <w:rPr>
          <w:rFonts w:eastAsia="Times New Roman"/>
        </w:rPr>
      </w:pPr>
    </w:p>
    <w:p w:rsidR="00000000" w:rsidRDefault="000242E9">
      <w:pPr>
        <w:jc w:val="center"/>
        <w:rPr>
          <w:rFonts w:eastAsia="Times New Roman"/>
        </w:rPr>
      </w:pPr>
    </w:p>
    <w:p w:rsidR="00000000" w:rsidRDefault="000242E9">
      <w:pPr>
        <w:jc w:val="center"/>
        <w:rPr>
          <w:rFonts w:eastAsia="Times New Roman"/>
        </w:rPr>
      </w:pPr>
      <w:r>
        <w:rPr>
          <w:rFonts w:eastAsia="Times New Roman"/>
          <w:b/>
          <w:bCs/>
          <w:color w:val="000000"/>
          <w:sz w:val="20"/>
          <w:szCs w:val="20"/>
        </w:rPr>
        <w:t>PART II. OTHER INFORMATION</w:t>
      </w:r>
    </w:p>
    <w:p w:rsidR="00000000" w:rsidRDefault="000242E9">
      <w:pPr>
        <w:jc w:val="both"/>
        <w:rPr>
          <w:rFonts w:eastAsia="Times New Roman"/>
        </w:rPr>
      </w:pPr>
      <w:r>
        <w:rPr>
          <w:rFonts w:eastAsia="Times New Roman"/>
          <w:color w:val="000000"/>
          <w:sz w:val="18"/>
          <w:szCs w:val="18"/>
        </w:rPr>
        <w:t> </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1601332269"/>
        </w:trPr>
        <w:tc>
          <w:tcPr>
            <w:tcW w:w="50" w:type="pct"/>
            <w:vAlign w:val="center"/>
            <w:hideMark/>
          </w:tcPr>
          <w:p w:rsidR="00000000" w:rsidRDefault="000242E9">
            <w:pPr>
              <w:jc w:val="both"/>
              <w:rPr>
                <w:rFonts w:eastAsia="Times New Roman"/>
              </w:rPr>
            </w:pPr>
          </w:p>
        </w:tc>
        <w:tc>
          <w:tcPr>
            <w:tcW w:w="49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9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601332269"/>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LEGAL PROCEEDINGS</w:t>
            </w:r>
          </w:p>
        </w:tc>
      </w:tr>
    </w:tbl>
    <w:p w:rsidR="00000000" w:rsidRDefault="000242E9">
      <w:pPr>
        <w:jc w:val="both"/>
        <w:divId w:val="1126389273"/>
        <w:rPr>
          <w:rFonts w:eastAsia="Times New Roman"/>
        </w:rPr>
      </w:pPr>
      <w:r>
        <w:rPr>
          <w:rFonts w:eastAsia="Times New Roman"/>
          <w:color w:val="000000"/>
          <w:sz w:val="20"/>
          <w:szCs w:val="20"/>
        </w:rPr>
        <w:t xml:space="preserve">For a discussion of material legal proceedings in which we are involved, please refer to </w:t>
      </w:r>
      <w:hyperlink w:anchor="if7a518a588154f7ab52f3429da641a28_76"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of the Notes to Condensed Consolidated Financial Statements includ</w:t>
      </w:r>
      <w:r>
        <w:rPr>
          <w:rFonts w:eastAsia="Times New Roman"/>
          <w:color w:val="000000"/>
          <w:sz w:val="20"/>
          <w:szCs w:val="20"/>
        </w:rPr>
        <w:t xml:space="preserve">ed in Part I, </w:t>
      </w:r>
      <w:hyperlink w:anchor="if7a518a588154f7ab52f3429da641a28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p w:rsidR="00000000" w:rsidRDefault="000242E9">
      <w:pPr>
        <w:jc w:val="both"/>
        <w:divId w:val="336886137"/>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860"/>
        <w:gridCol w:w="36"/>
      </w:tblGrid>
      <w:tr w:rsidR="00000000">
        <w:trPr>
          <w:divId w:val="575021195"/>
        </w:trPr>
        <w:tc>
          <w:tcPr>
            <w:tcW w:w="50" w:type="pct"/>
            <w:vAlign w:val="center"/>
            <w:hideMark/>
          </w:tcPr>
          <w:p w:rsidR="00000000" w:rsidRDefault="000242E9">
            <w:pPr>
              <w:jc w:val="both"/>
              <w:rPr>
                <w:rFonts w:eastAsia="Times New Roman"/>
              </w:rPr>
            </w:pPr>
          </w:p>
        </w:tc>
        <w:tc>
          <w:tcPr>
            <w:tcW w:w="49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9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575021195"/>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RISK FACTORS</w:t>
            </w:r>
          </w:p>
        </w:tc>
      </w:tr>
    </w:tbl>
    <w:p w:rsidR="00000000" w:rsidRDefault="000242E9">
      <w:pPr>
        <w:jc w:val="both"/>
        <w:divId w:val="2024745272"/>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16" w:anchor="s626CB24FF3DC5DF49DE365CF200BB9B8" w:history="1">
        <w:r>
          <w:rPr>
            <w:rStyle w:val="a3"/>
            <w:rFonts w:eastAsia="Times New Roman"/>
            <w:i/>
            <w:iCs/>
            <w:sz w:val="20"/>
            <w:szCs w:val="20"/>
          </w:rPr>
          <w:t>Item 1A</w:t>
        </w:r>
      </w:hyperlink>
      <w:r>
        <w:rPr>
          <w:rFonts w:eastAsia="Times New Roman"/>
          <w:i/>
          <w:iCs/>
          <w:color w:val="000000"/>
          <w:sz w:val="20"/>
          <w:szCs w:val="20"/>
        </w:rPr>
        <w:t xml:space="preserve"> "Risk Factors" of our 2019 10-K, </w:t>
      </w:r>
      <w:hyperlink r:id="rId17"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"Risk Factors" of our Quarterly Report on Form 10-Q for the quarter ended March 31, 2020 (the "Q1 2</w:t>
      </w:r>
      <w:r>
        <w:rPr>
          <w:rFonts w:eastAsia="Times New Roman"/>
          <w:i/>
          <w:iCs/>
          <w:color w:val="000000"/>
          <w:sz w:val="20"/>
          <w:szCs w:val="20"/>
        </w:rPr>
        <w:t xml:space="preserve">020 10-Q") and </w:t>
      </w:r>
      <w:hyperlink r:id="rId18" w:anchor="if3309f2850e6489fbcf3fb9276fba379_142" w:history="1">
        <w:r>
          <w:rPr>
            <w:rStyle w:val="a3"/>
            <w:rFonts w:eastAsia="Times New Roman"/>
            <w:i/>
            <w:iCs/>
            <w:sz w:val="20"/>
            <w:szCs w:val="20"/>
          </w:rPr>
          <w:t>Item 1A</w:t>
        </w:r>
      </w:hyperlink>
      <w:r>
        <w:rPr>
          <w:rFonts w:eastAsia="Times New Roman"/>
          <w:i/>
          <w:iCs/>
          <w:color w:val="000000"/>
          <w:sz w:val="20"/>
          <w:szCs w:val="20"/>
        </w:rPr>
        <w:t xml:space="preserve"> "Risk Factors" of our Quarterly Report on Form 10-Q for the quarter ended June 30</w:t>
      </w:r>
      <w:r>
        <w:rPr>
          <w:rFonts w:eastAsia="Times New Roman"/>
          <w:i/>
          <w:iCs/>
          <w:color w:val="000000"/>
          <w:sz w:val="20"/>
          <w:szCs w:val="20"/>
        </w:rPr>
        <w:t>, 2020 (the "Q2 2020 10-Q") before you decide whether to invest in our Common Stock. The risks identified below and in our 2019 10-K, Q1 2020 10-Q and Q2 2020 10-Q could materially and adversely affect our business, financial condition and operating result</w:t>
      </w:r>
      <w:r>
        <w:rPr>
          <w:rFonts w:eastAsia="Times New Roman"/>
          <w:i/>
          <w:iCs/>
          <w:color w:val="000000"/>
          <w:sz w:val="20"/>
          <w:szCs w:val="20"/>
        </w:rPr>
        <w:t>s. In that case, the trading price of our Common Stock could decline, and you could lose part or all of your investment. The risks described below and in our 2019 10-K, Q1 2020 10-Q and Q2 2020 10-Q are not the only risks we face. Additional risks and unce</w:t>
      </w:r>
      <w:r>
        <w:rPr>
          <w:rFonts w:eastAsia="Times New Roman"/>
          <w:i/>
          <w:iCs/>
          <w:color w:val="000000"/>
          <w:sz w:val="20"/>
          <w:szCs w:val="20"/>
        </w:rPr>
        <w:t>rtainties not currently known to us or that we currently deem to be immaterial also may materially and adversely affect our business, financial condition and operating results, and may result in the loss of part or all of your investment.</w:t>
      </w:r>
    </w:p>
    <w:p w:rsidR="00000000" w:rsidRDefault="000242E9">
      <w:pPr>
        <w:jc w:val="both"/>
        <w:divId w:val="1772626263"/>
        <w:rPr>
          <w:rFonts w:eastAsia="Times New Roman"/>
        </w:rPr>
      </w:pPr>
      <w:r>
        <w:rPr>
          <w:rFonts w:eastAsia="Times New Roman"/>
          <w:b/>
          <w:bCs/>
          <w:i/>
          <w:iCs/>
          <w:color w:val="000000"/>
          <w:sz w:val="20"/>
          <w:szCs w:val="20"/>
        </w:rPr>
        <w:t>The COVID-19 pand</w:t>
      </w:r>
      <w:r>
        <w:rPr>
          <w:rFonts w:eastAsia="Times New Roman"/>
          <w:b/>
          <w:bCs/>
          <w:i/>
          <w:iCs/>
          <w:color w:val="000000"/>
          <w:sz w:val="20"/>
          <w:szCs w:val="20"/>
        </w:rPr>
        <w:t>emic and related economic repercussions could have material adverse effects on our business, financial position, results of operations and cash flows.</w:t>
      </w:r>
    </w:p>
    <w:p w:rsidR="00000000" w:rsidRDefault="000242E9">
      <w:pPr>
        <w:jc w:val="both"/>
        <w:divId w:val="465586248"/>
        <w:rPr>
          <w:rFonts w:eastAsia="Times New Roman"/>
        </w:rPr>
      </w:pPr>
      <w:r>
        <w:rPr>
          <w:rFonts w:eastAsia="Times New Roman"/>
          <w:color w:val="000000"/>
          <w:sz w:val="20"/>
          <w:szCs w:val="20"/>
        </w:rPr>
        <w:t xml:space="preserve">The COVID-19 pandemic has caused massive disruption and uncertainty in domestic and global economies and </w:t>
      </w:r>
      <w:r>
        <w:rPr>
          <w:rFonts w:eastAsia="Times New Roman"/>
          <w:color w:val="000000"/>
          <w:sz w:val="20"/>
          <w:szCs w:val="20"/>
        </w:rPr>
        <w:t>particularly in the media, advertising and entertainment industries in which we operate. The extent to which the COVID-19 pandemic may ultimately impact our business is uncertain and will depend in large part on our customers, many of whom have been signif</w:t>
      </w:r>
      <w:r>
        <w:rPr>
          <w:rFonts w:eastAsia="Times New Roman"/>
          <w:color w:val="000000"/>
          <w:sz w:val="20"/>
          <w:szCs w:val="20"/>
        </w:rPr>
        <w:t>icantly affected by measures taken to mitigate the spread of the virus. To date, the COVID-19 pandemic and related measures have had some impact on our business, including with respect to the execution of new and renewal contracts, the impact of closed mov</w:t>
      </w:r>
      <w:r>
        <w:rPr>
          <w:rFonts w:eastAsia="Times New Roman"/>
          <w:color w:val="000000"/>
          <w:sz w:val="20"/>
          <w:szCs w:val="20"/>
        </w:rPr>
        <w:t xml:space="preserve">ie theaters on our customers, customer payment delays and requests to modify contractual payment terms, particularly in our Movies Reporting and Analytics business. These conditions have negatively impacted our operating cash flows, net loss and financial </w:t>
      </w:r>
      <w:r>
        <w:rPr>
          <w:rFonts w:eastAsia="Times New Roman"/>
          <w:color w:val="000000"/>
          <w:sz w:val="20"/>
          <w:szCs w:val="20"/>
        </w:rPr>
        <w:t>position. If the U.S. and global economies do not recover in the near term, or if recovery is delayed or limited in certain sectors due to longer term changes in consumer behavior, our customers may continue to delay their payments to us, may defer or redu</w:t>
      </w:r>
      <w:r>
        <w:rPr>
          <w:rFonts w:eastAsia="Times New Roman"/>
          <w:color w:val="000000"/>
          <w:sz w:val="20"/>
          <w:szCs w:val="20"/>
        </w:rPr>
        <w:t>ce their purchases from us, or may experience bankruptcy events, any of which could have a material adverse effect on our business and financial performance. Due to our largely subscription-based business model, the effects of COVID-19 may not be fully ref</w:t>
      </w:r>
      <w:r>
        <w:rPr>
          <w:rFonts w:eastAsia="Times New Roman"/>
          <w:color w:val="000000"/>
          <w:sz w:val="20"/>
          <w:szCs w:val="20"/>
        </w:rPr>
        <w:t>lected in our results of operations until future periods.</w:t>
      </w:r>
    </w:p>
    <w:p w:rsidR="00000000" w:rsidRDefault="000242E9">
      <w:pPr>
        <w:jc w:val="both"/>
        <w:divId w:val="521672745"/>
        <w:rPr>
          <w:rFonts w:eastAsia="Times New Roman"/>
        </w:rPr>
      </w:pPr>
      <w:r>
        <w:rPr>
          <w:rFonts w:eastAsia="Times New Roman"/>
          <w:color w:val="000000"/>
          <w:sz w:val="20"/>
          <w:szCs w:val="20"/>
        </w:rPr>
        <w:t>Given the nature and significance of these events, we are unable to enumerate all potential risks to our business from the COVID-19 pandemic. However, we believe that in addition to the impacts desc</w:t>
      </w:r>
      <w:r>
        <w:rPr>
          <w:rFonts w:eastAsia="Times New Roman"/>
          <w:color w:val="000000"/>
          <w:sz w:val="20"/>
          <w:szCs w:val="20"/>
        </w:rPr>
        <w:t>ribed above, other current and potential impacts include, but are not limited to:</w:t>
      </w:r>
    </w:p>
    <w:p w:rsidR="00000000" w:rsidRDefault="000242E9">
      <w:pPr>
        <w:ind w:hanging="540"/>
        <w:jc w:val="both"/>
        <w:divId w:val="1869416755"/>
        <w:rPr>
          <w:rFonts w:eastAsia="Times New Roman"/>
        </w:rPr>
      </w:pPr>
      <w:r>
        <w:rPr>
          <w:rFonts w:eastAsia="Times New Roman"/>
          <w:color w:val="000000"/>
          <w:sz w:val="20"/>
          <w:szCs w:val="20"/>
        </w:rPr>
        <w:t>•notices from customers and vendors arguing that any non-performance under our contracts with them is permitted as a result of force majeure or other reasons;</w:t>
      </w:r>
    </w:p>
    <w:p w:rsidR="00000000" w:rsidRDefault="000242E9">
      <w:pPr>
        <w:ind w:hanging="540"/>
        <w:jc w:val="both"/>
        <w:divId w:val="1985812983"/>
        <w:rPr>
          <w:rFonts w:eastAsia="Times New Roman"/>
        </w:rPr>
      </w:pPr>
      <w:r>
        <w:rPr>
          <w:rFonts w:eastAsia="Times New Roman"/>
          <w:color w:val="000000"/>
          <w:sz w:val="20"/>
          <w:szCs w:val="20"/>
        </w:rPr>
        <w:t>•delays in meet</w:t>
      </w:r>
      <w:r>
        <w:rPr>
          <w:rFonts w:eastAsia="Times New Roman"/>
          <w:color w:val="000000"/>
          <w:sz w:val="20"/>
          <w:szCs w:val="20"/>
        </w:rPr>
        <w:t>ing our payment obligations to vendors or others, which could result in the loss of goods and services necessary to operate our business;</w:t>
      </w:r>
    </w:p>
    <w:p w:rsidR="00000000" w:rsidRDefault="000242E9">
      <w:pPr>
        <w:ind w:hanging="540"/>
        <w:jc w:val="both"/>
        <w:divId w:val="739644075"/>
        <w:rPr>
          <w:rFonts w:eastAsia="Times New Roman"/>
        </w:rPr>
      </w:pPr>
      <w:r>
        <w:rPr>
          <w:rFonts w:eastAsia="Times New Roman"/>
          <w:color w:val="000000"/>
          <w:sz w:val="20"/>
          <w:szCs w:val="20"/>
        </w:rPr>
        <w:t>•inefficiencies, increased security risks and privacy concerns surrounding remote working arrangements, under which mo</w:t>
      </w:r>
      <w:r>
        <w:rPr>
          <w:rFonts w:eastAsia="Times New Roman"/>
          <w:color w:val="000000"/>
          <w:sz w:val="20"/>
          <w:szCs w:val="20"/>
        </w:rPr>
        <w:t>st of our employees are currently operating;</w:t>
      </w:r>
    </w:p>
    <w:p w:rsidR="00000000" w:rsidRDefault="000242E9">
      <w:pPr>
        <w:ind w:hanging="540"/>
        <w:jc w:val="both"/>
        <w:divId w:val="955209030"/>
        <w:rPr>
          <w:rFonts w:eastAsia="Times New Roman"/>
        </w:rPr>
      </w:pPr>
      <w:r>
        <w:rPr>
          <w:rFonts w:eastAsia="Times New Roman"/>
          <w:color w:val="000000"/>
          <w:sz w:val="20"/>
          <w:szCs w:val="20"/>
        </w:rPr>
        <w:t>•diversion of management time and resources related to business continuity planning;</w:t>
      </w:r>
    </w:p>
    <w:p w:rsidR="00000000" w:rsidRDefault="000242E9">
      <w:pPr>
        <w:ind w:hanging="540"/>
        <w:jc w:val="both"/>
        <w:divId w:val="2117477987"/>
        <w:rPr>
          <w:rFonts w:eastAsia="Times New Roman"/>
        </w:rPr>
      </w:pPr>
      <w:r>
        <w:rPr>
          <w:rFonts w:eastAsia="Times New Roman"/>
          <w:color w:val="000000"/>
          <w:sz w:val="20"/>
          <w:szCs w:val="20"/>
        </w:rPr>
        <w:t>•disruptions from operational changes we have undertaken or may undertake to manage liquidity risk, including lease and contra</w:t>
      </w:r>
      <w:r>
        <w:rPr>
          <w:rFonts w:eastAsia="Times New Roman"/>
          <w:color w:val="000000"/>
          <w:sz w:val="20"/>
          <w:szCs w:val="20"/>
        </w:rPr>
        <w:t>ct terminations, workforce reductions, furloughs and other cost-reduction initiatives;</w:t>
      </w:r>
    </w:p>
    <w:p w:rsidR="00000000" w:rsidRDefault="000242E9">
      <w:pPr>
        <w:ind w:hanging="540"/>
        <w:jc w:val="both"/>
        <w:divId w:val="977148481"/>
        <w:rPr>
          <w:rFonts w:eastAsia="Times New Roman"/>
        </w:rPr>
      </w:pPr>
      <w:r>
        <w:rPr>
          <w:rFonts w:eastAsia="Times New Roman"/>
          <w:color w:val="000000"/>
          <w:sz w:val="20"/>
          <w:szCs w:val="20"/>
        </w:rPr>
        <w:t>•challenges in complying with our existing debt obligations, including quarterly interest payments and covenants requiring the maintenance of certain minimum cash balanc</w:t>
      </w:r>
      <w:r>
        <w:rPr>
          <w:rFonts w:eastAsia="Times New Roman"/>
          <w:color w:val="000000"/>
          <w:sz w:val="20"/>
          <w:szCs w:val="20"/>
        </w:rPr>
        <w:t>es;</w:t>
      </w:r>
    </w:p>
    <w:p w:rsidR="00000000" w:rsidRDefault="000242E9">
      <w:pPr>
        <w:ind w:hanging="540"/>
        <w:jc w:val="both"/>
        <w:divId w:val="749934616"/>
        <w:rPr>
          <w:rFonts w:eastAsia="Times New Roman"/>
        </w:rPr>
      </w:pPr>
      <w:r>
        <w:rPr>
          <w:rFonts w:eastAsia="Times New Roman"/>
          <w:color w:val="000000"/>
          <w:sz w:val="20"/>
          <w:szCs w:val="20"/>
        </w:rPr>
        <w:t>•unfavorable capital and credit market conditions, which could impact our ability to obtain future financing or refinance our existing debt;</w:t>
      </w:r>
    </w:p>
    <w:p w:rsidR="00000000" w:rsidRDefault="000242E9">
      <w:pPr>
        <w:ind w:hanging="540"/>
        <w:jc w:val="both"/>
        <w:divId w:val="1423642385"/>
        <w:rPr>
          <w:rFonts w:eastAsia="Times New Roman"/>
        </w:rPr>
      </w:pPr>
      <w:r>
        <w:rPr>
          <w:rFonts w:eastAsia="Times New Roman"/>
          <w:color w:val="000000"/>
          <w:sz w:val="20"/>
          <w:szCs w:val="20"/>
        </w:rPr>
        <w:t>•heightened sensitivity from government regulators, particularly with respect to privacy compliance and cyberse</w:t>
      </w:r>
      <w:r>
        <w:rPr>
          <w:rFonts w:eastAsia="Times New Roman"/>
          <w:color w:val="000000"/>
          <w:sz w:val="20"/>
          <w:szCs w:val="20"/>
        </w:rPr>
        <w:t>curity in the current environment;</w:t>
      </w:r>
    </w:p>
    <w:p w:rsidR="00000000" w:rsidRDefault="000242E9">
      <w:pPr>
        <w:jc w:val="center"/>
        <w:divId w:val="73935354"/>
        <w:rPr>
          <w:rFonts w:eastAsia="Times New Roman"/>
        </w:rPr>
      </w:pPr>
      <w:r>
        <w:rPr>
          <w:rFonts w:eastAsia="Times New Roman"/>
          <w:color w:val="000000"/>
          <w:sz w:val="20"/>
          <w:szCs w:val="20"/>
        </w:rPr>
        <w:t>38</w:t>
      </w:r>
    </w:p>
    <w:p w:rsidR="00000000" w:rsidRDefault="000242E9">
      <w:pPr>
        <w:rPr>
          <w:rFonts w:eastAsia="Times New Roman"/>
        </w:rPr>
      </w:pPr>
      <w:r>
        <w:rPr>
          <w:rFonts w:eastAsia="Times New Roman"/>
        </w:rPr>
        <w:pict>
          <v:rect id="_x0000_i1065" style="width:0;height:1.5pt" o:hralign="center" o:hrstd="t" o:hr="t" fillcolor="#a0a0a0" stroked="f"/>
        </w:pict>
      </w:r>
    </w:p>
    <w:p w:rsidR="00000000" w:rsidRDefault="000242E9">
      <w:pPr>
        <w:jc w:val="both"/>
        <w:divId w:val="1704793860"/>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704793860"/>
        <w:rPr>
          <w:rFonts w:eastAsia="Times New Roman"/>
        </w:rPr>
      </w:pPr>
    </w:p>
    <w:p w:rsidR="00000000" w:rsidRDefault="000242E9">
      <w:pPr>
        <w:ind w:hanging="540"/>
        <w:jc w:val="both"/>
        <w:divId w:val="166948344"/>
        <w:rPr>
          <w:rFonts w:eastAsia="Times New Roman"/>
        </w:rPr>
      </w:pPr>
      <w:r>
        <w:rPr>
          <w:rFonts w:eastAsia="Times New Roman"/>
          <w:color w:val="000000"/>
          <w:sz w:val="20"/>
          <w:szCs w:val="20"/>
        </w:rPr>
        <w:t>•</w:t>
      </w:r>
      <w:r>
        <w:rPr>
          <w:rFonts w:eastAsia="Times New Roman"/>
          <w:color w:val="000000"/>
          <w:sz w:val="20"/>
          <w:szCs w:val="20"/>
        </w:rPr>
        <w:t>further impairment of lease-related assets, goodwill or other intangible assets; and</w:t>
      </w:r>
    </w:p>
    <w:p w:rsidR="00000000" w:rsidRDefault="000242E9">
      <w:pPr>
        <w:ind w:hanging="540"/>
        <w:jc w:val="both"/>
        <w:divId w:val="1981420877"/>
        <w:rPr>
          <w:rFonts w:eastAsia="Times New Roman"/>
        </w:rPr>
      </w:pPr>
      <w:r>
        <w:rPr>
          <w:rFonts w:eastAsia="Times New Roman"/>
          <w:color w:val="000000"/>
          <w:sz w:val="20"/>
          <w:szCs w:val="20"/>
        </w:rPr>
        <w:t xml:space="preserve">•litigation risk and possible loss contingencies related to COVID-19 and its impact, including with respect to our debt facilities, leases, commercial contracts, employee </w:t>
      </w:r>
      <w:r>
        <w:rPr>
          <w:rFonts w:eastAsia="Times New Roman"/>
          <w:color w:val="000000"/>
          <w:sz w:val="20"/>
          <w:szCs w:val="20"/>
        </w:rPr>
        <w:t>matters and insurance arrangements.</w:t>
      </w:r>
    </w:p>
    <w:p w:rsidR="00000000" w:rsidRDefault="000242E9">
      <w:pPr>
        <w:jc w:val="both"/>
        <w:divId w:val="929046914"/>
        <w:rPr>
          <w:rFonts w:eastAsia="Times New Roman"/>
        </w:rPr>
      </w:pPr>
      <w:r>
        <w:rPr>
          <w:rFonts w:eastAsia="Times New Roman"/>
          <w:color w:val="000000"/>
          <w:sz w:val="20"/>
          <w:szCs w:val="20"/>
        </w:rPr>
        <w:t>We cannot predict the duration or magnitude of the COVID-19 pandemic or its effects on our business or financial performance at this time; nor can we guarantee that any measures we take to mitigate the impact will be suc</w:t>
      </w:r>
      <w:r>
        <w:rPr>
          <w:rFonts w:eastAsia="Times New Roman"/>
          <w:color w:val="000000"/>
          <w:sz w:val="20"/>
          <w:szCs w:val="20"/>
        </w:rPr>
        <w:t>cessful. To the extent COVID-19 continues to adversely affect our business, financial condition, results of operation or cash flows, it may also have the effect of heightening many of the other risks described in the "Risk Factors" section of our 2019 10-K</w:t>
      </w:r>
      <w:r>
        <w:rPr>
          <w:rFonts w:eastAsia="Times New Roman"/>
          <w:color w:val="000000"/>
          <w:sz w:val="20"/>
          <w:szCs w:val="20"/>
        </w:rPr>
        <w:t>.</w:t>
      </w:r>
    </w:p>
    <w:p w:rsidR="00000000" w:rsidRDefault="000242E9">
      <w:pPr>
        <w:jc w:val="both"/>
        <w:divId w:val="2000764707"/>
        <w:rPr>
          <w:rFonts w:eastAsia="Times New Roman"/>
        </w:rPr>
      </w:pPr>
      <w:r>
        <w:rPr>
          <w:rFonts w:eastAsia="Times New Roman"/>
          <w:b/>
          <w:bCs/>
          <w:i/>
          <w:iCs/>
          <w:color w:val="000000"/>
          <w:sz w:val="20"/>
          <w:szCs w:val="20"/>
        </w:rPr>
        <w:t>The COVID-19 pandemic and related economic repercussions have impacted our cash flows, which could impact our ability to comply with the restrictive covenants in the agreements governing our debt.</w:t>
      </w:r>
    </w:p>
    <w:p w:rsidR="00000000" w:rsidRDefault="000242E9">
      <w:pPr>
        <w:jc w:val="both"/>
        <w:divId w:val="824707437"/>
        <w:rPr>
          <w:rFonts w:eastAsia="Times New Roman"/>
        </w:rPr>
      </w:pPr>
      <w:r>
        <w:rPr>
          <w:rFonts w:eastAsia="Times New Roman"/>
          <w:color w:val="000000"/>
          <w:sz w:val="20"/>
          <w:szCs w:val="20"/>
        </w:rPr>
        <w:t>The agreements governing our debt contain affirmative and</w:t>
      </w:r>
      <w:r>
        <w:rPr>
          <w:rFonts w:eastAsia="Times New Roman"/>
          <w:color w:val="000000"/>
          <w:sz w:val="20"/>
          <w:szCs w:val="20"/>
        </w:rPr>
        <w:t xml:space="preserve"> negative covenants that limit our ability to take certain actions. Our Notes also require us to maintain a $40.0 million minimum cash balance, which we calculate based on our total cash, cash equivalents and restricted cash. Failure to meet our obligation</w:t>
      </w:r>
      <w:r>
        <w:rPr>
          <w:rFonts w:eastAsia="Times New Roman"/>
          <w:color w:val="000000"/>
          <w:sz w:val="20"/>
          <w:szCs w:val="20"/>
        </w:rPr>
        <w:t>s under the Notes could lead to an Event of Default (as defined in the Notes), which could have important consequences including, potentially, forcing us into bankruptcy or liquidation.</w:t>
      </w:r>
    </w:p>
    <w:p w:rsidR="00000000" w:rsidRDefault="000242E9">
      <w:pPr>
        <w:jc w:val="both"/>
        <w:divId w:val="387412327"/>
        <w:rPr>
          <w:rFonts w:eastAsia="Times New Roman"/>
        </w:rPr>
      </w:pPr>
      <w:r>
        <w:rPr>
          <w:rFonts w:eastAsia="Times New Roman"/>
          <w:color w:val="000000"/>
          <w:sz w:val="20"/>
          <w:szCs w:val="20"/>
        </w:rPr>
        <w:t>The COVID-19 pandemic is impacting the execution of new and renewal co</w:t>
      </w:r>
      <w:r>
        <w:rPr>
          <w:rFonts w:eastAsia="Times New Roman"/>
          <w:color w:val="000000"/>
          <w:sz w:val="20"/>
          <w:szCs w:val="20"/>
        </w:rPr>
        <w:t>ntracts and is creating customer payment delays and requests to modify contractual payment terms, particularly in our Movies Reporting and Analytics business. These conditions have negatively impacted our liquidity and cash flows and could have a more sign</w:t>
      </w:r>
      <w:r>
        <w:rPr>
          <w:rFonts w:eastAsia="Times New Roman"/>
          <w:color w:val="000000"/>
          <w:sz w:val="20"/>
          <w:szCs w:val="20"/>
        </w:rPr>
        <w:t>ificant impact in future periods. As of September 30, 2020, we had cash, cash equivalents and restricted cash totaling $51.8 million, including $19.6 million in restricted cash, and we were in compliance with the covenants under the Notes and the Secured T</w:t>
      </w:r>
      <w:r>
        <w:rPr>
          <w:rFonts w:eastAsia="Times New Roman"/>
          <w:color w:val="000000"/>
          <w:sz w:val="20"/>
          <w:szCs w:val="20"/>
        </w:rPr>
        <w:t xml:space="preserve">erm Note; however, in the second quarter of 2020, the holders of the Notes questioned our compliance with the minimum cash balance requirements therein. If the U.S. and global economies do not recover in the near term, or if recovery is delayed or limited </w:t>
      </w:r>
      <w:r>
        <w:rPr>
          <w:rFonts w:eastAsia="Times New Roman"/>
          <w:color w:val="000000"/>
          <w:sz w:val="20"/>
          <w:szCs w:val="20"/>
        </w:rPr>
        <w:t>in certain sectors due to longer term changes in consumer behavior, our cash flows could be further impacted, which could impact our ability to satisfy the covenants in the agreements governing our debt, including the minimum cash balance requirement in th</w:t>
      </w:r>
      <w:r>
        <w:rPr>
          <w:rFonts w:eastAsia="Times New Roman"/>
          <w:color w:val="000000"/>
          <w:sz w:val="20"/>
          <w:szCs w:val="20"/>
        </w:rPr>
        <w:t>e Notes.</w:t>
      </w:r>
    </w:p>
    <w:tbl>
      <w:tblPr>
        <w:tblW w:w="4743" w:type="pct"/>
        <w:tblCellMar>
          <w:top w:w="15" w:type="dxa"/>
          <w:left w:w="15" w:type="dxa"/>
          <w:bottom w:w="15" w:type="dxa"/>
          <w:right w:w="15" w:type="dxa"/>
        </w:tblCellMar>
        <w:tblLook w:val="04A0" w:firstRow="1" w:lastRow="0" w:firstColumn="1" w:lastColumn="0" w:noHBand="0" w:noVBand="1"/>
      </w:tblPr>
      <w:tblGrid>
        <w:gridCol w:w="71"/>
        <w:gridCol w:w="758"/>
        <w:gridCol w:w="36"/>
        <w:gridCol w:w="65"/>
        <w:gridCol w:w="6913"/>
        <w:gridCol w:w="36"/>
      </w:tblGrid>
      <w:tr w:rsidR="00000000">
        <w:trPr>
          <w:divId w:val="1452744789"/>
        </w:trPr>
        <w:tc>
          <w:tcPr>
            <w:tcW w:w="50" w:type="pct"/>
            <w:vAlign w:val="center"/>
            <w:hideMark/>
          </w:tcPr>
          <w:p w:rsidR="00000000" w:rsidRDefault="000242E9">
            <w:pPr>
              <w:jc w:val="both"/>
              <w:rPr>
                <w:rFonts w:eastAsia="Times New Roman"/>
              </w:rPr>
            </w:pPr>
          </w:p>
        </w:tc>
        <w:tc>
          <w:tcPr>
            <w:tcW w:w="49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9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452744789"/>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UNREGISTERED SALES OF EQUITY SECURITIES AND USE OF PROCEEDS</w:t>
            </w:r>
          </w:p>
        </w:tc>
      </w:tr>
    </w:tbl>
    <w:p w:rsidR="00000000" w:rsidRDefault="000242E9">
      <w:pPr>
        <w:jc w:val="both"/>
        <w:divId w:val="1572619423"/>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September 30, 2020</w:t>
      </w:r>
    </w:p>
    <w:p w:rsidR="00000000" w:rsidRDefault="000242E9">
      <w:pPr>
        <w:ind w:firstLine="450"/>
        <w:jc w:val="both"/>
        <w:divId w:val="848259105"/>
        <w:rPr>
          <w:rFonts w:eastAsia="Times New Roman"/>
        </w:rPr>
      </w:pPr>
      <w:r>
        <w:rPr>
          <w:rFonts w:eastAsia="Times New Roman"/>
          <w:color w:val="000000"/>
          <w:sz w:val="20"/>
          <w:szCs w:val="20"/>
        </w:rPr>
        <w:t>None.</w:t>
      </w:r>
    </w:p>
    <w:p w:rsidR="00000000" w:rsidRDefault="000242E9">
      <w:pPr>
        <w:jc w:val="both"/>
        <w:divId w:val="1497695949"/>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rsidR="00000000" w:rsidRDefault="000242E9">
      <w:pPr>
        <w:ind w:firstLine="495"/>
        <w:jc w:val="both"/>
        <w:divId w:val="1928270829"/>
        <w:rPr>
          <w:rFonts w:eastAsia="Times New Roman"/>
        </w:rPr>
      </w:pPr>
      <w:r>
        <w:rPr>
          <w:rFonts w:eastAsia="Times New Roman"/>
          <w:color w:val="000000"/>
          <w:sz w:val="20"/>
          <w:szCs w:val="20"/>
        </w:rPr>
        <w:t>None.</w:t>
      </w:r>
    </w:p>
    <w:p w:rsidR="00000000" w:rsidRDefault="000242E9">
      <w:pPr>
        <w:jc w:val="both"/>
        <w:divId w:val="1792821984"/>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rsidR="00000000" w:rsidRDefault="000242E9">
      <w:pPr>
        <w:jc w:val="both"/>
        <w:divId w:val="557981146"/>
        <w:rPr>
          <w:rFonts w:eastAsia="Times New Roman"/>
        </w:rPr>
      </w:pPr>
      <w:r>
        <w:rPr>
          <w:rFonts w:eastAsia="Times New Roman"/>
          <w:color w:val="000000"/>
          <w:sz w:val="20"/>
          <w:szCs w:val="20"/>
        </w:rPr>
        <w:t>None.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752"/>
        <w:gridCol w:w="36"/>
        <w:gridCol w:w="69"/>
        <w:gridCol w:w="7338"/>
        <w:gridCol w:w="36"/>
      </w:tblGrid>
      <w:tr w:rsidR="00000000">
        <w:trPr>
          <w:divId w:val="1365446928"/>
          <w:jc w:val="center"/>
        </w:trPr>
        <w:tc>
          <w:tcPr>
            <w:tcW w:w="50" w:type="pct"/>
            <w:vAlign w:val="center"/>
            <w:hideMark/>
          </w:tcPr>
          <w:p w:rsidR="00000000" w:rsidRDefault="000242E9">
            <w:pPr>
              <w:jc w:val="both"/>
              <w:rPr>
                <w:rFonts w:eastAsia="Times New Roman"/>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4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365446928"/>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DEFAULTS UPON SENIOR SECURITIES</w:t>
            </w:r>
          </w:p>
        </w:tc>
      </w:tr>
    </w:tbl>
    <w:p w:rsidR="00000000" w:rsidRDefault="000242E9">
      <w:pPr>
        <w:ind w:firstLine="495"/>
        <w:jc w:val="both"/>
        <w:divId w:val="848376652"/>
        <w:rPr>
          <w:rFonts w:eastAsia="Times New Roman"/>
        </w:rPr>
      </w:pPr>
      <w:r>
        <w:rPr>
          <w:rFonts w:eastAsia="Times New Roman"/>
          <w:color w:val="000000"/>
          <w:sz w:val="20"/>
          <w:szCs w:val="20"/>
        </w:rPr>
        <w:t>Not applicable.</w:t>
      </w:r>
    </w:p>
    <w:tbl>
      <w:tblPr>
        <w:tblW w:w="5000" w:type="pct"/>
        <w:tblCellMar>
          <w:top w:w="15" w:type="dxa"/>
          <w:left w:w="15" w:type="dxa"/>
          <w:bottom w:w="15" w:type="dxa"/>
          <w:right w:w="15" w:type="dxa"/>
        </w:tblCellMar>
        <w:tblLook w:val="04A0" w:firstRow="1" w:lastRow="0" w:firstColumn="1" w:lastColumn="0" w:noHBand="0" w:noVBand="1"/>
      </w:tblPr>
      <w:tblGrid>
        <w:gridCol w:w="69"/>
        <w:gridCol w:w="758"/>
        <w:gridCol w:w="36"/>
        <w:gridCol w:w="69"/>
        <w:gridCol w:w="7338"/>
        <w:gridCol w:w="36"/>
      </w:tblGrid>
      <w:tr w:rsidR="00000000">
        <w:trPr>
          <w:divId w:val="786697176"/>
        </w:trPr>
        <w:tc>
          <w:tcPr>
            <w:tcW w:w="50" w:type="pct"/>
            <w:vAlign w:val="center"/>
            <w:hideMark/>
          </w:tcPr>
          <w:p w:rsidR="00000000" w:rsidRDefault="000242E9">
            <w:pPr>
              <w:ind w:firstLine="495"/>
              <w:jc w:val="both"/>
              <w:rPr>
                <w:rFonts w:eastAsia="Times New Roman"/>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4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786697176"/>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MINE SAFETY DISCLOSURES</w:t>
            </w:r>
          </w:p>
        </w:tc>
      </w:tr>
    </w:tbl>
    <w:p w:rsidR="00000000" w:rsidRDefault="000242E9">
      <w:pPr>
        <w:ind w:firstLine="450"/>
        <w:jc w:val="both"/>
        <w:divId w:val="1858420292"/>
        <w:rPr>
          <w:rFonts w:eastAsia="Times New Roman"/>
        </w:rPr>
      </w:pPr>
      <w:r>
        <w:rPr>
          <w:rFonts w:eastAsia="Times New Roman"/>
          <w:color w:val="000000"/>
          <w:sz w:val="20"/>
          <w:szCs w:val="20"/>
        </w:rPr>
        <w:t>Not applicable.</w:t>
      </w:r>
    </w:p>
    <w:tbl>
      <w:tblPr>
        <w:tblW w:w="4743" w:type="pct"/>
        <w:tblCellMar>
          <w:top w:w="15" w:type="dxa"/>
          <w:left w:w="15" w:type="dxa"/>
          <w:bottom w:w="15" w:type="dxa"/>
          <w:right w:w="15" w:type="dxa"/>
        </w:tblCellMar>
        <w:tblLook w:val="04A0" w:firstRow="1" w:lastRow="0" w:firstColumn="1" w:lastColumn="0" w:noHBand="0" w:noVBand="1"/>
      </w:tblPr>
      <w:tblGrid>
        <w:gridCol w:w="65"/>
        <w:gridCol w:w="764"/>
        <w:gridCol w:w="36"/>
        <w:gridCol w:w="65"/>
        <w:gridCol w:w="6913"/>
        <w:gridCol w:w="36"/>
      </w:tblGrid>
      <w:tr w:rsidR="00000000">
        <w:trPr>
          <w:divId w:val="843012849"/>
        </w:trPr>
        <w:tc>
          <w:tcPr>
            <w:tcW w:w="50" w:type="pct"/>
            <w:vAlign w:val="center"/>
            <w:hideMark/>
          </w:tcPr>
          <w:p w:rsidR="00000000" w:rsidRDefault="000242E9">
            <w:pPr>
              <w:ind w:firstLine="450"/>
              <w:jc w:val="both"/>
              <w:rPr>
                <w:rFonts w:eastAsia="Times New Roman"/>
              </w:rPr>
            </w:pPr>
          </w:p>
        </w:tc>
        <w:tc>
          <w:tcPr>
            <w:tcW w:w="49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396"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843012849"/>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b/>
                <w:bCs/>
                <w:i/>
                <w:iCs/>
                <w:color w:val="000000"/>
                <w:sz w:val="20"/>
                <w:szCs w:val="20"/>
              </w:rPr>
              <w:t>OTHER INFORMATION</w:t>
            </w:r>
          </w:p>
        </w:tc>
      </w:tr>
    </w:tbl>
    <w:p w:rsidR="00000000" w:rsidRDefault="000242E9">
      <w:pPr>
        <w:ind w:firstLine="450"/>
        <w:divId w:val="77946759"/>
        <w:rPr>
          <w:rFonts w:eastAsia="Times New Roman"/>
        </w:rPr>
      </w:pPr>
      <w:r>
        <w:rPr>
          <w:rFonts w:eastAsia="Times New Roman"/>
          <w:color w:val="000000"/>
          <w:sz w:val="20"/>
          <w:szCs w:val="20"/>
        </w:rPr>
        <w:t>Not applicable.</w:t>
      </w:r>
    </w:p>
    <w:p w:rsidR="00000000" w:rsidRDefault="000242E9">
      <w:pPr>
        <w:jc w:val="center"/>
        <w:divId w:val="1824933015"/>
        <w:rPr>
          <w:rFonts w:eastAsia="Times New Roman"/>
        </w:rPr>
      </w:pPr>
      <w:r>
        <w:rPr>
          <w:rFonts w:eastAsia="Times New Roman"/>
          <w:color w:val="000000"/>
          <w:sz w:val="20"/>
          <w:szCs w:val="20"/>
        </w:rPr>
        <w:t>39</w:t>
      </w:r>
    </w:p>
    <w:p w:rsidR="00000000" w:rsidRDefault="000242E9">
      <w:pPr>
        <w:rPr>
          <w:rFonts w:eastAsia="Times New Roman"/>
        </w:rPr>
      </w:pPr>
      <w:r>
        <w:rPr>
          <w:rFonts w:eastAsia="Times New Roman"/>
        </w:rPr>
        <w:pict>
          <v:rect id="_x0000_i1066" style="width:0;height:1.5pt" o:hralign="center" o:hrstd="t" o:hr="t" fillcolor="#a0a0a0" stroked="f"/>
        </w:pict>
      </w:r>
    </w:p>
    <w:p w:rsidR="00000000" w:rsidRDefault="000242E9">
      <w:pPr>
        <w:jc w:val="both"/>
        <w:divId w:val="1771854631"/>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177185463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752"/>
        <w:gridCol w:w="36"/>
        <w:gridCol w:w="69"/>
        <w:gridCol w:w="7338"/>
        <w:gridCol w:w="36"/>
      </w:tblGrid>
      <w:tr w:rsidR="00000000">
        <w:trPr>
          <w:divId w:val="181019578"/>
          <w:jc w:val="center"/>
        </w:trPr>
        <w:tc>
          <w:tcPr>
            <w:tcW w:w="50" w:type="pct"/>
            <w:vAlign w:val="center"/>
            <w:hideMark/>
          </w:tcPr>
          <w:p w:rsidR="00000000" w:rsidRDefault="000242E9">
            <w:pPr>
              <w:jc w:val="both"/>
              <w:rPr>
                <w:rFonts w:eastAsia="Times New Roman"/>
              </w:rPr>
            </w:pPr>
          </w:p>
        </w:tc>
        <w:tc>
          <w:tcPr>
            <w:tcW w:w="46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4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81019578"/>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b/>
                <w:bCs/>
                <w:i/>
                <w:iCs/>
                <w:color w:val="000000"/>
                <w:sz w:val="20"/>
                <w:szCs w:val="20"/>
              </w:rPr>
              <w:t>EXHIBITS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88"/>
        <w:gridCol w:w="144"/>
        <w:gridCol w:w="144"/>
        <w:gridCol w:w="167"/>
        <w:gridCol w:w="144"/>
        <w:gridCol w:w="144"/>
        <w:gridCol w:w="7349"/>
        <w:gridCol w:w="144"/>
      </w:tblGrid>
      <w:tr w:rsidR="00000000">
        <w:trPr>
          <w:jc w:val="center"/>
        </w:trPr>
        <w:tc>
          <w:tcPr>
            <w:tcW w:w="50" w:type="pct"/>
            <w:vAlign w:val="center"/>
            <w:hideMark/>
          </w:tcPr>
          <w:p w:rsidR="00000000" w:rsidRDefault="000242E9">
            <w:pPr>
              <w:jc w:val="center"/>
              <w:rPr>
                <w:rFonts w:eastAsia="Times New Roman"/>
              </w:rPr>
            </w:pPr>
          </w:p>
        </w:tc>
        <w:tc>
          <w:tcPr>
            <w:tcW w:w="35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10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442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19"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0"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1" w:history="1">
              <w:r>
                <w:rPr>
                  <w:rStyle w:val="a3"/>
                  <w:rFonts w:eastAsia="Times New Roman"/>
                  <w:sz w:val="20"/>
                  <w:szCs w:val="20"/>
                </w:rPr>
                <w:t>Certificate of Designation of Series A Jun</w:t>
              </w:r>
              <w:r>
                <w:rPr>
                  <w:rStyle w:val="a3"/>
                  <w:rFonts w:eastAsia="Times New Roman"/>
                  <w:sz w:val="20"/>
                  <w:szCs w:val="20"/>
                </w:rPr>
                <w:t>ior Participating Preferred Stock of comScore, Inc., as filed with the Secretary of State of the State of Delaware on February 9, 2017 (incorporated by reference to Exhibit 3.1 to the Registrant's Current Report on Form 8-K, filed February 9, 2017) (File N</w:t>
              </w:r>
              <w:r>
                <w:rPr>
                  <w:rStyle w:val="a3"/>
                  <w:rFonts w:eastAsia="Times New Roman"/>
                  <w:sz w:val="20"/>
                  <w:szCs w:val="20"/>
                </w:rPr>
                <w:t>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2" w:history="1">
              <w:r>
                <w:rPr>
                  <w:rStyle w:val="a3"/>
                  <w:rFonts w:eastAsia="Times New Roman"/>
                  <w:sz w:val="20"/>
                  <w:szCs w:val="20"/>
                </w:rPr>
                <w:t xml:space="preserve">Certificate of Elimination of Designation of Series A Junior Participating Preferred Stock of comScore, Inc., as filed with the Secretary of State of the State of Delaware on September 29, 2017 (incorporated by reference to Exhibit 3.1 to the Registrant's </w:t>
              </w:r>
              <w:r>
                <w:rPr>
                  <w:rStyle w:val="a3"/>
                  <w:rFonts w:eastAsia="Times New Roman"/>
                  <w:sz w:val="20"/>
                  <w:szCs w:val="20"/>
                </w:rPr>
                <w:t>Current Report on Form 8-K, filed October 4, 2017)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3" w:history="1">
              <w:r>
                <w:rPr>
                  <w:rStyle w:val="a3"/>
                  <w:rFonts w:eastAsia="Times New Roman"/>
                  <w:sz w:val="20"/>
                  <w:szCs w:val="20"/>
                </w:rPr>
                <w:t>Amended and Restated Bylaws of comScore, Inc (incorporated by reference to Exhibit 3.2 to the Registrant's Quarterly Report on Form 10-Q for th</w:t>
              </w:r>
              <w:r>
                <w:rPr>
                  <w:rStyle w:val="a3"/>
                  <w:rFonts w:eastAsia="Times New Roman"/>
                  <w:sz w:val="20"/>
                  <w:szCs w:val="20"/>
                </w:rPr>
                <w:t>e period ended June 30, 2018, filed August 10, 2018) (File No. 001-33520)</w:t>
              </w:r>
            </w:hyperlink>
            <w:r>
              <w:rPr>
                <w:rFonts w:eastAsia="Times New Roman"/>
                <w:color w:val="000000"/>
                <w:sz w:val="20"/>
                <w:szCs w:val="20"/>
              </w:rPr>
              <w:t xml:space="preserve">. </w:t>
            </w:r>
          </w:p>
        </w:tc>
      </w:tr>
      <w:tr w:rsidR="00000000">
        <w:trPr>
          <w:jc w:val="center"/>
        </w:trPr>
        <w:tc>
          <w:tcPr>
            <w:tcW w:w="0" w:type="auto"/>
            <w:gridSpan w:val="3"/>
            <w:vAlign w:val="center"/>
            <w:hideMark/>
          </w:tcPr>
          <w:p w:rsidR="00000000" w:rsidRDefault="000242E9">
            <w:pPr>
              <w:jc w:val="both"/>
              <w:rPr>
                <w:rFonts w:eastAsia="Times New Roman"/>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jc w:val="center"/>
        </w:trPr>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c>
          <w:tcPr>
            <w:tcW w:w="0" w:type="auto"/>
            <w:gridSpan w:val="3"/>
            <w:vAlign w:val="center"/>
            <w:hideMark/>
          </w:tcPr>
          <w:p w:rsidR="00000000" w:rsidRDefault="000242E9">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4" w:history="1">
              <w:r>
                <w:rPr>
                  <w:rStyle w:val="a3"/>
                  <w:rFonts w:eastAsia="Times New Roman"/>
                  <w:sz w:val="20"/>
                  <w:szCs w:val="20"/>
                </w:rPr>
                <w:t>comScore, Inc. 2018 Equity and Incentive Compensation Plan (as Amended and Restated Effective as of July 9, 2020) (incorporated by reference to Ex</w:t>
              </w:r>
              <w:r>
                <w:rPr>
                  <w:rStyle w:val="a3"/>
                  <w:rFonts w:eastAsia="Times New Roman"/>
                  <w:sz w:val="20"/>
                  <w:szCs w:val="20"/>
                </w:rPr>
                <w:t>hibit 10.1 to the Registrant's Current Report on Form 8-K, filed July 15, 2020) (File No. 001-33520)</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5"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6"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7"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hyperlink r:id="rId28"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Inline XBRL Taxonomy Extension Schema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Inline XBRL Taxonomy Extension Calculation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Inline XBRL Taxonomy Extension Definition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Inline XBRL Taxonomy Extension Label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Inline XBRL Taxonomy Extension Presentation Linkbase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30" w:type="dxa"/>
              <w:left w:w="20" w:type="dxa"/>
              <w:bottom w:w="30" w:type="dxa"/>
              <w:right w:w="20" w:type="dxa"/>
            </w:tcMar>
            <w:hideMark/>
          </w:tcPr>
          <w:p w:rsidR="00000000" w:rsidRDefault="000242E9">
            <w:pPr>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0242E9">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r>
    </w:tbl>
    <w:p w:rsidR="00000000" w:rsidRDefault="000242E9">
      <w:pPr>
        <w:jc w:val="both"/>
        <w:rPr>
          <w:rFonts w:eastAsia="Times New Roman"/>
        </w:rPr>
      </w:pPr>
    </w:p>
    <w:p w:rsidR="00000000" w:rsidRDefault="000242E9">
      <w:pPr>
        <w:jc w:val="both"/>
        <w:divId w:val="1563953664"/>
        <w:rPr>
          <w:rFonts w:eastAsia="Times New Roman"/>
        </w:rPr>
      </w:pPr>
      <w:r>
        <w:rPr>
          <w:rFonts w:eastAsia="Times New Roman"/>
          <w:color w:val="000000"/>
          <w:sz w:val="20"/>
          <w:szCs w:val="20"/>
        </w:rPr>
        <w:t>+Filed or furnished herewith</w:t>
      </w:r>
    </w:p>
    <w:p w:rsidR="00000000" w:rsidRDefault="000242E9">
      <w:pPr>
        <w:jc w:val="both"/>
        <w:divId w:val="664555864"/>
        <w:rPr>
          <w:rFonts w:eastAsia="Times New Roman"/>
        </w:rPr>
      </w:pPr>
      <w:r>
        <w:rPr>
          <w:rFonts w:eastAsia="Times New Roman"/>
          <w:color w:val="000000"/>
          <w:sz w:val="20"/>
          <w:szCs w:val="20"/>
        </w:rPr>
        <w:t>*Management contract or compensatory plan or arrangement.</w:t>
      </w:r>
    </w:p>
    <w:p w:rsidR="00000000" w:rsidRDefault="000242E9">
      <w:pPr>
        <w:jc w:val="both"/>
        <w:divId w:val="1218856464"/>
        <w:rPr>
          <w:rFonts w:eastAsia="Times New Roman"/>
        </w:rPr>
      </w:pPr>
    </w:p>
    <w:p w:rsidR="00000000" w:rsidRDefault="000242E9">
      <w:pPr>
        <w:jc w:val="center"/>
        <w:divId w:val="1853062716"/>
        <w:rPr>
          <w:rFonts w:eastAsia="Times New Roman"/>
        </w:rPr>
      </w:pPr>
      <w:r>
        <w:rPr>
          <w:rFonts w:eastAsia="Times New Roman"/>
          <w:color w:val="000000"/>
          <w:sz w:val="20"/>
          <w:szCs w:val="20"/>
        </w:rPr>
        <w:t>40</w:t>
      </w:r>
    </w:p>
    <w:p w:rsidR="00000000" w:rsidRDefault="000242E9">
      <w:pPr>
        <w:rPr>
          <w:rFonts w:eastAsia="Times New Roman"/>
        </w:rPr>
      </w:pPr>
      <w:r>
        <w:rPr>
          <w:rFonts w:eastAsia="Times New Roman"/>
        </w:rPr>
        <w:pict>
          <v:rect id="_x0000_i1067" style="width:0;height:1.5pt" o:hralign="center" o:hrstd="t" o:hr="t" fillcolor="#a0a0a0" stroked="f"/>
        </w:pict>
      </w:r>
    </w:p>
    <w:p w:rsidR="00000000" w:rsidRDefault="000242E9">
      <w:pPr>
        <w:jc w:val="both"/>
        <w:divId w:val="2036613810"/>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2036613810"/>
        <w:rPr>
          <w:rFonts w:eastAsia="Times New Roman"/>
        </w:rPr>
      </w:pPr>
    </w:p>
    <w:p w:rsidR="00000000" w:rsidRDefault="000242E9">
      <w:pPr>
        <w:jc w:val="center"/>
        <w:rPr>
          <w:rFonts w:eastAsia="Times New Roman"/>
        </w:rPr>
      </w:pPr>
      <w:r>
        <w:rPr>
          <w:rFonts w:eastAsia="Times New Roman"/>
          <w:b/>
          <w:bCs/>
          <w:color w:val="000000"/>
          <w:sz w:val="20"/>
          <w:szCs w:val="20"/>
        </w:rPr>
        <w:t>SIGNATURE</w:t>
      </w:r>
    </w:p>
    <w:p w:rsidR="00000000" w:rsidRDefault="000242E9">
      <w:pPr>
        <w:jc w:val="both"/>
        <w:divId w:val="1325888632"/>
        <w:rPr>
          <w:rFonts w:eastAsia="Times New Roman"/>
        </w:rPr>
      </w:pPr>
      <w:r>
        <w:rPr>
          <w:rFonts w:eastAsia="Times New Roman"/>
          <w:color w:val="000000"/>
          <w:sz w:val="20"/>
          <w:szCs w:val="20"/>
        </w:rPr>
        <w:t>Pursuant to the requirements of the Securities Exchange Act of 1934,</w:t>
      </w:r>
      <w:r>
        <w:rPr>
          <w:rFonts w:eastAsia="Times New Roman"/>
          <w:color w:val="000000"/>
          <w:sz w:val="20"/>
          <w:szCs w:val="20"/>
        </w:rPr>
        <w:t xml:space="preserve"> the registrant has duly caused this report to be signed on its behalf by the undersigned thereunto duly authorized.</w:t>
      </w:r>
    </w:p>
    <w:p w:rsidR="00000000" w:rsidRDefault="000242E9">
      <w:pPr>
        <w:jc w:val="both"/>
        <w:rPr>
          <w:rFonts w:eastAsia="Times New Roman"/>
        </w:rPr>
      </w:pPr>
      <w:r>
        <w:rPr>
          <w:rFonts w:eastAsia="Times New Roman"/>
          <w:color w:val="000000"/>
          <w:sz w:val="18"/>
          <w:szCs w:val="18"/>
        </w:rPr>
        <w:t> </w:t>
      </w:r>
    </w:p>
    <w:tbl>
      <w:tblPr>
        <w:tblW w:w="4986" w:type="pct"/>
        <w:tblCellMar>
          <w:top w:w="15" w:type="dxa"/>
          <w:left w:w="15" w:type="dxa"/>
          <w:bottom w:w="15" w:type="dxa"/>
          <w:right w:w="15" w:type="dxa"/>
        </w:tblCellMar>
        <w:tblLook w:val="04A0" w:firstRow="1" w:lastRow="0" w:firstColumn="1" w:lastColumn="0" w:noHBand="0" w:noVBand="1"/>
      </w:tblPr>
      <w:tblGrid>
        <w:gridCol w:w="69"/>
        <w:gridCol w:w="4048"/>
        <w:gridCol w:w="36"/>
        <w:gridCol w:w="77"/>
        <w:gridCol w:w="245"/>
        <w:gridCol w:w="37"/>
        <w:gridCol w:w="67"/>
        <w:gridCol w:w="1152"/>
        <w:gridCol w:w="37"/>
        <w:gridCol w:w="69"/>
        <w:gridCol w:w="1152"/>
        <w:gridCol w:w="37"/>
        <w:gridCol w:w="69"/>
        <w:gridCol w:w="1152"/>
        <w:gridCol w:w="36"/>
      </w:tblGrid>
      <w:tr w:rsidR="00000000">
        <w:trPr>
          <w:divId w:val="1282347897"/>
        </w:trPr>
        <w:tc>
          <w:tcPr>
            <w:tcW w:w="50" w:type="pct"/>
            <w:vAlign w:val="center"/>
            <w:hideMark/>
          </w:tcPr>
          <w:p w:rsidR="00000000" w:rsidRDefault="000242E9">
            <w:pPr>
              <w:jc w:val="both"/>
              <w:rPr>
                <w:rFonts w:eastAsia="Times New Roman"/>
              </w:rPr>
            </w:pPr>
          </w:p>
        </w:tc>
        <w:tc>
          <w:tcPr>
            <w:tcW w:w="2451"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160"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70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70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c>
          <w:tcPr>
            <w:tcW w:w="50" w:type="pct"/>
            <w:vAlign w:val="center"/>
            <w:hideMark/>
          </w:tcPr>
          <w:p w:rsidR="00000000" w:rsidRDefault="000242E9">
            <w:pPr>
              <w:rPr>
                <w:rFonts w:eastAsia="Times New Roman"/>
                <w:sz w:val="20"/>
                <w:szCs w:val="20"/>
              </w:rPr>
            </w:pPr>
          </w:p>
        </w:tc>
        <w:tc>
          <w:tcPr>
            <w:tcW w:w="704" w:type="pct"/>
            <w:vAlign w:val="center"/>
            <w:hideMark/>
          </w:tcPr>
          <w:p w:rsidR="00000000" w:rsidRDefault="000242E9">
            <w:pPr>
              <w:rPr>
                <w:rFonts w:eastAsia="Times New Roman"/>
                <w:sz w:val="20"/>
                <w:szCs w:val="20"/>
              </w:rPr>
            </w:pPr>
          </w:p>
        </w:tc>
        <w:tc>
          <w:tcPr>
            <w:tcW w:w="5" w:type="pct"/>
            <w:vAlign w:val="center"/>
            <w:hideMark/>
          </w:tcPr>
          <w:p w:rsidR="00000000" w:rsidRDefault="000242E9">
            <w:pPr>
              <w:rPr>
                <w:rFonts w:eastAsia="Times New Roman"/>
                <w:sz w:val="20"/>
                <w:szCs w:val="20"/>
              </w:rPr>
            </w:pPr>
          </w:p>
        </w:tc>
      </w:tr>
      <w:tr w:rsidR="00000000">
        <w:trPr>
          <w:divId w:val="1282347897"/>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0242E9">
            <w:pPr>
              <w:divId w:val="1470785284"/>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trPr>
          <w:divId w:val="1282347897"/>
          <w:trHeight w:val="300"/>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0242E9">
            <w:pPr>
              <w:rPr>
                <w:rFonts w:eastAsia="Times New Roman"/>
                <w:sz w:val="20"/>
                <w:szCs w:val="20"/>
              </w:rPr>
            </w:pPr>
          </w:p>
        </w:tc>
      </w:tr>
      <w:tr w:rsidR="00000000">
        <w:trPr>
          <w:divId w:val="1282347897"/>
        </w:trPr>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/s/ Gregory A. Fink</w:t>
            </w:r>
          </w:p>
        </w:tc>
      </w:tr>
      <w:tr w:rsidR="00000000">
        <w:trPr>
          <w:divId w:val="1282347897"/>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20"/>
                <w:szCs w:val="20"/>
              </w:rPr>
              <w:t>Gregory A. Fink</w:t>
            </w:r>
          </w:p>
        </w:tc>
      </w:tr>
      <w:tr w:rsidR="00000000">
        <w:trPr>
          <w:divId w:val="1282347897"/>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242E9">
            <w:pPr>
              <w:rPr>
                <w:rFonts w:eastAsia="Times New Roman"/>
              </w:rPr>
            </w:pPr>
            <w:r>
              <w:rPr>
                <w:rFonts w:eastAsia="Times New Roman"/>
                <w:color w:val="000000"/>
                <w:sz w:val="20"/>
                <w:szCs w:val="20"/>
              </w:rPr>
              <w:t>Chief Financial Officer and Treasurer</w:t>
            </w:r>
          </w:p>
        </w:tc>
      </w:tr>
      <w:tr w:rsidR="00000000">
        <w:trPr>
          <w:divId w:val="1282347897"/>
        </w:trPr>
        <w:tc>
          <w:tcPr>
            <w:tcW w:w="0" w:type="auto"/>
            <w:gridSpan w:val="3"/>
            <w:tcMar>
              <w:top w:w="0" w:type="dxa"/>
              <w:left w:w="20" w:type="dxa"/>
              <w:bottom w:w="0" w:type="dxa"/>
              <w:right w:w="20" w:type="dxa"/>
            </w:tcMar>
            <w:vAlign w:val="center"/>
            <w:hideMark/>
          </w:tcPr>
          <w:p w:rsidR="00000000" w:rsidRDefault="000242E9">
            <w:pPr>
              <w:rPr>
                <w:rFonts w:eastAsia="Times New Roman"/>
              </w:rPr>
            </w:pPr>
          </w:p>
        </w:tc>
        <w:tc>
          <w:tcPr>
            <w:tcW w:w="0" w:type="auto"/>
            <w:gridSpan w:val="3"/>
            <w:tcMar>
              <w:top w:w="0" w:type="dxa"/>
              <w:left w:w="20" w:type="dxa"/>
              <w:bottom w:w="0" w:type="dxa"/>
              <w:right w:w="20" w:type="dxa"/>
            </w:tcMar>
            <w:vAlign w:val="center"/>
            <w:hideMark/>
          </w:tcPr>
          <w:p w:rsidR="00000000" w:rsidRDefault="000242E9">
            <w:pPr>
              <w:rPr>
                <w:rFonts w:eastAsia="Times New Roman"/>
                <w:sz w:val="20"/>
                <w:szCs w:val="20"/>
              </w:rPr>
            </w:pPr>
          </w:p>
        </w:tc>
        <w:tc>
          <w:tcPr>
            <w:tcW w:w="0" w:type="auto"/>
            <w:gridSpan w:val="9"/>
            <w:tcMar>
              <w:top w:w="30" w:type="dxa"/>
              <w:left w:w="20" w:type="dxa"/>
              <w:bottom w:w="30" w:type="dxa"/>
              <w:right w:w="20" w:type="dxa"/>
            </w:tcMar>
            <w:hideMark/>
          </w:tcPr>
          <w:p w:rsidR="00000000" w:rsidRDefault="000242E9">
            <w:pPr>
              <w:rPr>
                <w:rFonts w:eastAsia="Times New Roman"/>
              </w:rPr>
            </w:pPr>
            <w:r>
              <w:rPr>
                <w:rFonts w:eastAsia="Times New Roman"/>
                <w:color w:val="000000"/>
                <w:sz w:val="20"/>
                <w:szCs w:val="20"/>
              </w:rPr>
              <w:t>(Principal Financial Officer, Principal Accounting Officer and Duly Authorized Officer)</w:t>
            </w:r>
          </w:p>
        </w:tc>
      </w:tr>
    </w:tbl>
    <w:p w:rsidR="00000000" w:rsidRDefault="000242E9">
      <w:pPr>
        <w:jc w:val="both"/>
        <w:divId w:val="474222354"/>
        <w:rPr>
          <w:rFonts w:eastAsia="Times New Roman"/>
        </w:rPr>
      </w:pPr>
      <w:r>
        <w:rPr>
          <w:rFonts w:eastAsia="Times New Roman"/>
          <w:color w:val="000000"/>
          <w:sz w:val="20"/>
          <w:szCs w:val="20"/>
        </w:rPr>
        <w:t>November 9, 2020</w:t>
      </w:r>
    </w:p>
    <w:p w:rsidR="00000000" w:rsidRDefault="000242E9">
      <w:pPr>
        <w:jc w:val="center"/>
        <w:divId w:val="1074937669"/>
        <w:rPr>
          <w:rFonts w:eastAsia="Times New Roman"/>
        </w:rPr>
      </w:pPr>
      <w:r>
        <w:rPr>
          <w:rFonts w:eastAsia="Times New Roman"/>
          <w:color w:val="000000"/>
          <w:sz w:val="20"/>
          <w:szCs w:val="20"/>
        </w:rPr>
        <w:t>41</w:t>
      </w:r>
    </w:p>
    <w:p w:rsidR="00000000" w:rsidRDefault="000242E9">
      <w:pPr>
        <w:rPr>
          <w:rFonts w:eastAsia="Times New Roman"/>
        </w:rPr>
      </w:pPr>
      <w:r>
        <w:rPr>
          <w:rFonts w:eastAsia="Times New Roman"/>
        </w:rPr>
        <w:pict>
          <v:rect id="_x0000_i1068" style="width:0;height:1.5pt" o:hralign="center" o:hrstd="t" o:hr="t" fillcolor="#a0a0a0" stroked="f"/>
        </w:pict>
      </w:r>
    </w:p>
    <w:p w:rsidR="00000000" w:rsidRDefault="000242E9">
      <w:pPr>
        <w:jc w:val="both"/>
        <w:divId w:val="824782324"/>
        <w:rPr>
          <w:rFonts w:eastAsia="Times New Roman"/>
        </w:rPr>
      </w:pPr>
      <w:hyperlink w:anchor="if7a518a588154f7ab52f3429da641a28_7" w:history="1">
        <w:r>
          <w:rPr>
            <w:rStyle w:val="a3"/>
            <w:rFonts w:eastAsia="Times New Roman"/>
            <w:sz w:val="20"/>
            <w:szCs w:val="20"/>
          </w:rPr>
          <w:t>Table of Contents</w:t>
        </w:r>
      </w:hyperlink>
    </w:p>
    <w:p w:rsidR="00000000" w:rsidRDefault="000242E9">
      <w:pPr>
        <w:jc w:val="both"/>
        <w:divId w:val="824782324"/>
        <w:rPr>
          <w:rFonts w:eastAsia="Times New Roman"/>
        </w:rPr>
      </w:pPr>
    </w:p>
    <w:p w:rsidR="00000000" w:rsidRDefault="000242E9">
      <w:pPr>
        <w:jc w:val="center"/>
        <w:divId w:val="87504304"/>
        <w:rPr>
          <w:rFonts w:eastAsia="Times New Roman"/>
        </w:rPr>
      </w:pPr>
    </w:p>
    <w:p w:rsidR="00000000" w:rsidRDefault="000242E9">
      <w:pPr>
        <w:spacing w:before="2500"/>
        <w:jc w:val="center"/>
        <w:divId w:val="1202742852"/>
        <w:rPr>
          <w:rFonts w:eastAsia="Times New Roman"/>
        </w:rPr>
      </w:pPr>
      <w:r>
        <w:rPr>
          <w:rFonts w:eastAsia="Times New Roman"/>
          <w:noProof/>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42E9" w:rsidRDefault="000242E9">
      <w:pPr>
        <w:jc w:val="both"/>
        <w:divId w:val="1540974644"/>
        <w:rPr>
          <w:rFonts w:eastAsia="Times New Roman"/>
        </w:rPr>
      </w:pPr>
    </w:p>
    <w:sectPr w:rsidR="000242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42E9"/>
    <w:rsid w:val="000242E9"/>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xbrl.sec.gov/dei/2020-01-31"/>
  <w:attachedSchema w:val="http://www.sec.gov/inlineXBRL/transformation/2015-08-31"/>
  <w:attachedSchema w:val="http://www.xbrl.org/2009/utr"/>
  <w:attachedSchema w:val="http://www.xbrl.org/2003/iso4217"/>
  <w:attachedSchema w:val="http://www.xbrl.org/2003/instance"/>
  <w:attachedSchema w:val="http://xbrl.org/2006/xbrldi"/>
  <w:attachedSchema w:val="http://www.w3.org/1999/xlink"/>
  <w:attachedSchema w:val="http://fasb.org/srt/2020-01-31"/>
  <w:attachedSchema w:val="http://www.xbrl.org/2003/linkbase"/>
  <w:attachedSchema w:val="http://xbrl.sec.gov/country/2020-01-31"/>
  <w:attachedSchema w:val="http://www.xbrl.org/inlineXBRL/transformation/2015-02-26"/>
  <w:attachedSchema w:val="http://fasb.org/us-gaap/2020-01-31"/>
  <w:attachedSchema w:val="http://www.comscore.com/2020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773">
      <w:marLeft w:val="0"/>
      <w:marRight w:val="0"/>
      <w:marTop w:val="100"/>
      <w:marBottom w:val="0"/>
      <w:divBdr>
        <w:top w:val="none" w:sz="0" w:space="0" w:color="auto"/>
        <w:left w:val="none" w:sz="0" w:space="0" w:color="auto"/>
        <w:bottom w:val="none" w:sz="0" w:space="0" w:color="auto"/>
        <w:right w:val="none" w:sz="0" w:space="0" w:color="auto"/>
      </w:divBdr>
    </w:div>
    <w:div w:id="15157535">
      <w:marLeft w:val="0"/>
      <w:marRight w:val="0"/>
      <w:marTop w:val="0"/>
      <w:marBottom w:val="0"/>
      <w:divBdr>
        <w:top w:val="none" w:sz="0" w:space="0" w:color="auto"/>
        <w:left w:val="none" w:sz="0" w:space="0" w:color="auto"/>
        <w:bottom w:val="none" w:sz="0" w:space="0" w:color="auto"/>
        <w:right w:val="none" w:sz="0" w:space="0" w:color="auto"/>
      </w:divBdr>
    </w:div>
    <w:div w:id="15931600">
      <w:marLeft w:val="0"/>
      <w:marRight w:val="0"/>
      <w:marTop w:val="100"/>
      <w:marBottom w:val="0"/>
      <w:divBdr>
        <w:top w:val="none" w:sz="0" w:space="0" w:color="auto"/>
        <w:left w:val="none" w:sz="0" w:space="0" w:color="auto"/>
        <w:bottom w:val="none" w:sz="0" w:space="0" w:color="auto"/>
        <w:right w:val="none" w:sz="0" w:space="0" w:color="auto"/>
      </w:divBdr>
    </w:div>
    <w:div w:id="19205304">
      <w:marLeft w:val="0"/>
      <w:marRight w:val="0"/>
      <w:marTop w:val="100"/>
      <w:marBottom w:val="0"/>
      <w:divBdr>
        <w:top w:val="none" w:sz="0" w:space="0" w:color="auto"/>
        <w:left w:val="none" w:sz="0" w:space="0" w:color="auto"/>
        <w:bottom w:val="none" w:sz="0" w:space="0" w:color="auto"/>
        <w:right w:val="none" w:sz="0" w:space="0" w:color="auto"/>
      </w:divBdr>
    </w:div>
    <w:div w:id="19480669">
      <w:marLeft w:val="0"/>
      <w:marRight w:val="0"/>
      <w:marTop w:val="100"/>
      <w:marBottom w:val="100"/>
      <w:divBdr>
        <w:top w:val="none" w:sz="0" w:space="0" w:color="auto"/>
        <w:left w:val="none" w:sz="0" w:space="0" w:color="auto"/>
        <w:bottom w:val="none" w:sz="0" w:space="0" w:color="auto"/>
        <w:right w:val="none" w:sz="0" w:space="0" w:color="auto"/>
      </w:divBdr>
    </w:div>
    <w:div w:id="22366944">
      <w:marLeft w:val="0"/>
      <w:marRight w:val="0"/>
      <w:marTop w:val="280"/>
      <w:marBottom w:val="0"/>
      <w:divBdr>
        <w:top w:val="none" w:sz="0" w:space="0" w:color="auto"/>
        <w:left w:val="none" w:sz="0" w:space="0" w:color="auto"/>
        <w:bottom w:val="none" w:sz="0" w:space="0" w:color="auto"/>
        <w:right w:val="none" w:sz="0" w:space="0" w:color="auto"/>
      </w:divBdr>
    </w:div>
    <w:div w:id="22873022">
      <w:marLeft w:val="0"/>
      <w:marRight w:val="0"/>
      <w:marTop w:val="100"/>
      <w:marBottom w:val="0"/>
      <w:divBdr>
        <w:top w:val="none" w:sz="0" w:space="0" w:color="auto"/>
        <w:left w:val="none" w:sz="0" w:space="0" w:color="auto"/>
        <w:bottom w:val="none" w:sz="0" w:space="0" w:color="auto"/>
        <w:right w:val="none" w:sz="0" w:space="0" w:color="auto"/>
      </w:divBdr>
    </w:div>
    <w:div w:id="25371555">
      <w:marLeft w:val="0"/>
      <w:marRight w:val="0"/>
      <w:marTop w:val="0"/>
      <w:marBottom w:val="0"/>
      <w:divBdr>
        <w:top w:val="none" w:sz="0" w:space="0" w:color="auto"/>
        <w:left w:val="none" w:sz="0" w:space="0" w:color="auto"/>
        <w:bottom w:val="none" w:sz="0" w:space="0" w:color="auto"/>
        <w:right w:val="none" w:sz="0" w:space="0" w:color="auto"/>
      </w:divBdr>
    </w:div>
    <w:div w:id="25839737">
      <w:marLeft w:val="0"/>
      <w:marRight w:val="0"/>
      <w:marTop w:val="0"/>
      <w:marBottom w:val="0"/>
      <w:divBdr>
        <w:top w:val="none" w:sz="0" w:space="0" w:color="auto"/>
        <w:left w:val="none" w:sz="0" w:space="0" w:color="auto"/>
        <w:bottom w:val="none" w:sz="0" w:space="0" w:color="auto"/>
        <w:right w:val="none" w:sz="0" w:space="0" w:color="auto"/>
      </w:divBdr>
      <w:divsChild>
        <w:div w:id="1211575386">
          <w:marLeft w:val="0"/>
          <w:marRight w:val="0"/>
          <w:marTop w:val="0"/>
          <w:marBottom w:val="0"/>
          <w:divBdr>
            <w:top w:val="none" w:sz="0" w:space="0" w:color="auto"/>
            <w:left w:val="none" w:sz="0" w:space="0" w:color="auto"/>
            <w:bottom w:val="none" w:sz="0" w:space="0" w:color="auto"/>
            <w:right w:val="none" w:sz="0" w:space="0" w:color="auto"/>
          </w:divBdr>
        </w:div>
      </w:divsChild>
    </w:div>
    <w:div w:id="27686637">
      <w:marLeft w:val="0"/>
      <w:marRight w:val="0"/>
      <w:marTop w:val="0"/>
      <w:marBottom w:val="0"/>
      <w:divBdr>
        <w:top w:val="none" w:sz="0" w:space="0" w:color="auto"/>
        <w:left w:val="none" w:sz="0" w:space="0" w:color="auto"/>
        <w:bottom w:val="none" w:sz="0" w:space="0" w:color="auto"/>
        <w:right w:val="none" w:sz="0" w:space="0" w:color="auto"/>
      </w:divBdr>
      <w:divsChild>
        <w:div w:id="477380559">
          <w:marLeft w:val="0"/>
          <w:marRight w:val="0"/>
          <w:marTop w:val="0"/>
          <w:marBottom w:val="0"/>
          <w:divBdr>
            <w:top w:val="none" w:sz="0" w:space="0" w:color="auto"/>
            <w:left w:val="none" w:sz="0" w:space="0" w:color="auto"/>
            <w:bottom w:val="none" w:sz="0" w:space="0" w:color="auto"/>
            <w:right w:val="none" w:sz="0" w:space="0" w:color="auto"/>
          </w:divBdr>
        </w:div>
      </w:divsChild>
    </w:div>
    <w:div w:id="34355647">
      <w:marLeft w:val="0"/>
      <w:marRight w:val="0"/>
      <w:marTop w:val="100"/>
      <w:marBottom w:val="0"/>
      <w:divBdr>
        <w:top w:val="none" w:sz="0" w:space="0" w:color="auto"/>
        <w:left w:val="none" w:sz="0" w:space="0" w:color="auto"/>
        <w:bottom w:val="none" w:sz="0" w:space="0" w:color="auto"/>
        <w:right w:val="none" w:sz="0" w:space="0" w:color="auto"/>
      </w:divBdr>
    </w:div>
    <w:div w:id="34812175">
      <w:marLeft w:val="0"/>
      <w:marRight w:val="0"/>
      <w:marTop w:val="60"/>
      <w:marBottom w:val="0"/>
      <w:divBdr>
        <w:top w:val="none" w:sz="0" w:space="0" w:color="auto"/>
        <w:left w:val="none" w:sz="0" w:space="0" w:color="auto"/>
        <w:bottom w:val="none" w:sz="0" w:space="0" w:color="auto"/>
        <w:right w:val="none" w:sz="0" w:space="0" w:color="auto"/>
      </w:divBdr>
    </w:div>
    <w:div w:id="38555021">
      <w:marLeft w:val="0"/>
      <w:marRight w:val="0"/>
      <w:marTop w:val="280"/>
      <w:marBottom w:val="0"/>
      <w:divBdr>
        <w:top w:val="none" w:sz="0" w:space="0" w:color="auto"/>
        <w:left w:val="none" w:sz="0" w:space="0" w:color="auto"/>
        <w:bottom w:val="none" w:sz="0" w:space="0" w:color="auto"/>
        <w:right w:val="none" w:sz="0" w:space="0" w:color="auto"/>
      </w:divBdr>
    </w:div>
    <w:div w:id="49622205">
      <w:marLeft w:val="0"/>
      <w:marRight w:val="0"/>
      <w:marTop w:val="100"/>
      <w:marBottom w:val="0"/>
      <w:divBdr>
        <w:top w:val="none" w:sz="0" w:space="0" w:color="auto"/>
        <w:left w:val="none" w:sz="0" w:space="0" w:color="auto"/>
        <w:bottom w:val="none" w:sz="0" w:space="0" w:color="auto"/>
        <w:right w:val="none" w:sz="0" w:space="0" w:color="auto"/>
      </w:divBdr>
    </w:div>
    <w:div w:id="49966109">
      <w:marLeft w:val="0"/>
      <w:marRight w:val="0"/>
      <w:marTop w:val="100"/>
      <w:marBottom w:val="0"/>
      <w:divBdr>
        <w:top w:val="none" w:sz="0" w:space="0" w:color="auto"/>
        <w:left w:val="none" w:sz="0" w:space="0" w:color="auto"/>
        <w:bottom w:val="none" w:sz="0" w:space="0" w:color="auto"/>
        <w:right w:val="none" w:sz="0" w:space="0" w:color="auto"/>
      </w:divBdr>
    </w:div>
    <w:div w:id="52854547">
      <w:marLeft w:val="0"/>
      <w:marRight w:val="0"/>
      <w:marTop w:val="0"/>
      <w:marBottom w:val="0"/>
      <w:divBdr>
        <w:top w:val="none" w:sz="0" w:space="0" w:color="auto"/>
        <w:left w:val="none" w:sz="0" w:space="0" w:color="auto"/>
        <w:bottom w:val="none" w:sz="0" w:space="0" w:color="auto"/>
        <w:right w:val="none" w:sz="0" w:space="0" w:color="auto"/>
      </w:divBdr>
      <w:divsChild>
        <w:div w:id="1049956026">
          <w:marLeft w:val="0"/>
          <w:marRight w:val="0"/>
          <w:marTop w:val="0"/>
          <w:marBottom w:val="0"/>
          <w:divBdr>
            <w:top w:val="none" w:sz="0" w:space="0" w:color="auto"/>
            <w:left w:val="none" w:sz="0" w:space="0" w:color="auto"/>
            <w:bottom w:val="none" w:sz="0" w:space="0" w:color="auto"/>
            <w:right w:val="none" w:sz="0" w:space="0" w:color="auto"/>
          </w:divBdr>
        </w:div>
      </w:divsChild>
    </w:div>
    <w:div w:id="55710438">
      <w:marLeft w:val="0"/>
      <w:marRight w:val="0"/>
      <w:marTop w:val="100"/>
      <w:marBottom w:val="0"/>
      <w:divBdr>
        <w:top w:val="none" w:sz="0" w:space="0" w:color="auto"/>
        <w:left w:val="none" w:sz="0" w:space="0" w:color="auto"/>
        <w:bottom w:val="none" w:sz="0" w:space="0" w:color="auto"/>
        <w:right w:val="none" w:sz="0" w:space="0" w:color="auto"/>
      </w:divBdr>
    </w:div>
    <w:div w:id="63379403">
      <w:marLeft w:val="0"/>
      <w:marRight w:val="0"/>
      <w:marTop w:val="100"/>
      <w:marBottom w:val="0"/>
      <w:divBdr>
        <w:top w:val="none" w:sz="0" w:space="0" w:color="auto"/>
        <w:left w:val="none" w:sz="0" w:space="0" w:color="auto"/>
        <w:bottom w:val="none" w:sz="0" w:space="0" w:color="auto"/>
        <w:right w:val="none" w:sz="0" w:space="0" w:color="auto"/>
      </w:divBdr>
    </w:div>
    <w:div w:id="64912436">
      <w:marLeft w:val="0"/>
      <w:marRight w:val="0"/>
      <w:marTop w:val="0"/>
      <w:marBottom w:val="0"/>
      <w:divBdr>
        <w:top w:val="none" w:sz="0" w:space="0" w:color="auto"/>
        <w:left w:val="none" w:sz="0" w:space="0" w:color="auto"/>
        <w:bottom w:val="none" w:sz="0" w:space="0" w:color="auto"/>
        <w:right w:val="none" w:sz="0" w:space="0" w:color="auto"/>
      </w:divBdr>
    </w:div>
    <w:div w:id="76559838">
      <w:marLeft w:val="0"/>
      <w:marRight w:val="0"/>
      <w:marTop w:val="280"/>
      <w:marBottom w:val="0"/>
      <w:divBdr>
        <w:top w:val="none" w:sz="0" w:space="0" w:color="auto"/>
        <w:left w:val="none" w:sz="0" w:space="0" w:color="auto"/>
        <w:bottom w:val="none" w:sz="0" w:space="0" w:color="auto"/>
        <w:right w:val="none" w:sz="0" w:space="0" w:color="auto"/>
      </w:divBdr>
    </w:div>
    <w:div w:id="76943625">
      <w:marLeft w:val="0"/>
      <w:marRight w:val="0"/>
      <w:marTop w:val="100"/>
      <w:marBottom w:val="0"/>
      <w:divBdr>
        <w:top w:val="none" w:sz="0" w:space="0" w:color="auto"/>
        <w:left w:val="none" w:sz="0" w:space="0" w:color="auto"/>
        <w:bottom w:val="none" w:sz="0" w:space="0" w:color="auto"/>
        <w:right w:val="none" w:sz="0" w:space="0" w:color="auto"/>
      </w:divBdr>
    </w:div>
    <w:div w:id="77946759">
      <w:marLeft w:val="0"/>
      <w:marRight w:val="0"/>
      <w:marTop w:val="280"/>
      <w:marBottom w:val="0"/>
      <w:divBdr>
        <w:top w:val="none" w:sz="0" w:space="0" w:color="auto"/>
        <w:left w:val="none" w:sz="0" w:space="0" w:color="auto"/>
        <w:bottom w:val="none" w:sz="0" w:space="0" w:color="auto"/>
        <w:right w:val="none" w:sz="0" w:space="0" w:color="auto"/>
      </w:divBdr>
    </w:div>
    <w:div w:id="79762287">
      <w:marLeft w:val="0"/>
      <w:marRight w:val="0"/>
      <w:marTop w:val="0"/>
      <w:marBottom w:val="100"/>
      <w:divBdr>
        <w:top w:val="none" w:sz="0" w:space="0" w:color="auto"/>
        <w:left w:val="none" w:sz="0" w:space="0" w:color="auto"/>
        <w:bottom w:val="none" w:sz="0" w:space="0" w:color="auto"/>
        <w:right w:val="none" w:sz="0" w:space="0" w:color="auto"/>
      </w:divBdr>
      <w:divsChild>
        <w:div w:id="2035036451">
          <w:marLeft w:val="0"/>
          <w:marRight w:val="0"/>
          <w:marTop w:val="0"/>
          <w:marBottom w:val="0"/>
          <w:divBdr>
            <w:top w:val="none" w:sz="0" w:space="0" w:color="auto"/>
            <w:left w:val="none" w:sz="0" w:space="0" w:color="auto"/>
            <w:bottom w:val="none" w:sz="0" w:space="0" w:color="auto"/>
            <w:right w:val="none" w:sz="0" w:space="0" w:color="auto"/>
          </w:divBdr>
        </w:div>
      </w:divsChild>
    </w:div>
    <w:div w:id="84035635">
      <w:marLeft w:val="0"/>
      <w:marRight w:val="0"/>
      <w:marTop w:val="280"/>
      <w:marBottom w:val="0"/>
      <w:divBdr>
        <w:top w:val="none" w:sz="0" w:space="0" w:color="auto"/>
        <w:left w:val="none" w:sz="0" w:space="0" w:color="auto"/>
        <w:bottom w:val="none" w:sz="0" w:space="0" w:color="auto"/>
        <w:right w:val="none" w:sz="0" w:space="0" w:color="auto"/>
      </w:divBdr>
    </w:div>
    <w:div w:id="86387275">
      <w:marLeft w:val="0"/>
      <w:marRight w:val="0"/>
      <w:marTop w:val="100"/>
      <w:marBottom w:val="0"/>
      <w:divBdr>
        <w:top w:val="none" w:sz="0" w:space="0" w:color="auto"/>
        <w:left w:val="none" w:sz="0" w:space="0" w:color="auto"/>
        <w:bottom w:val="none" w:sz="0" w:space="0" w:color="auto"/>
        <w:right w:val="none" w:sz="0" w:space="0" w:color="auto"/>
      </w:divBdr>
    </w:div>
    <w:div w:id="87389817">
      <w:marLeft w:val="0"/>
      <w:marRight w:val="0"/>
      <w:marTop w:val="0"/>
      <w:marBottom w:val="200"/>
      <w:divBdr>
        <w:top w:val="none" w:sz="0" w:space="0" w:color="auto"/>
        <w:left w:val="none" w:sz="0" w:space="0" w:color="auto"/>
        <w:bottom w:val="none" w:sz="0" w:space="0" w:color="auto"/>
        <w:right w:val="none" w:sz="0" w:space="0" w:color="auto"/>
      </w:divBdr>
    </w:div>
    <w:div w:id="87504304">
      <w:marLeft w:val="0"/>
      <w:marRight w:val="0"/>
      <w:marTop w:val="1000"/>
      <w:marBottom w:val="0"/>
      <w:divBdr>
        <w:top w:val="none" w:sz="0" w:space="0" w:color="auto"/>
        <w:left w:val="none" w:sz="0" w:space="0" w:color="auto"/>
        <w:bottom w:val="none" w:sz="0" w:space="0" w:color="auto"/>
        <w:right w:val="none" w:sz="0" w:space="0" w:color="auto"/>
      </w:divBdr>
    </w:div>
    <w:div w:id="100074665">
      <w:marLeft w:val="0"/>
      <w:marRight w:val="0"/>
      <w:marTop w:val="100"/>
      <w:marBottom w:val="0"/>
      <w:divBdr>
        <w:top w:val="none" w:sz="0" w:space="0" w:color="auto"/>
        <w:left w:val="none" w:sz="0" w:space="0" w:color="auto"/>
        <w:bottom w:val="none" w:sz="0" w:space="0" w:color="auto"/>
        <w:right w:val="none" w:sz="0" w:space="0" w:color="auto"/>
      </w:divBdr>
    </w:div>
    <w:div w:id="112215108">
      <w:marLeft w:val="0"/>
      <w:marRight w:val="0"/>
      <w:marTop w:val="100"/>
      <w:marBottom w:val="0"/>
      <w:divBdr>
        <w:top w:val="none" w:sz="0" w:space="0" w:color="auto"/>
        <w:left w:val="none" w:sz="0" w:space="0" w:color="auto"/>
        <w:bottom w:val="none" w:sz="0" w:space="0" w:color="auto"/>
        <w:right w:val="none" w:sz="0" w:space="0" w:color="auto"/>
      </w:divBdr>
    </w:div>
    <w:div w:id="123041079">
      <w:marLeft w:val="0"/>
      <w:marRight w:val="0"/>
      <w:marTop w:val="280"/>
      <w:marBottom w:val="0"/>
      <w:divBdr>
        <w:top w:val="none" w:sz="0" w:space="0" w:color="auto"/>
        <w:left w:val="none" w:sz="0" w:space="0" w:color="auto"/>
        <w:bottom w:val="none" w:sz="0" w:space="0" w:color="auto"/>
        <w:right w:val="none" w:sz="0" w:space="0" w:color="auto"/>
      </w:divBdr>
    </w:div>
    <w:div w:id="136387306">
      <w:marLeft w:val="0"/>
      <w:marRight w:val="0"/>
      <w:marTop w:val="100"/>
      <w:marBottom w:val="0"/>
      <w:divBdr>
        <w:top w:val="none" w:sz="0" w:space="0" w:color="auto"/>
        <w:left w:val="none" w:sz="0" w:space="0" w:color="auto"/>
        <w:bottom w:val="none" w:sz="0" w:space="0" w:color="auto"/>
        <w:right w:val="none" w:sz="0" w:space="0" w:color="auto"/>
      </w:divBdr>
    </w:div>
    <w:div w:id="144902363">
      <w:marLeft w:val="0"/>
      <w:marRight w:val="0"/>
      <w:marTop w:val="280"/>
      <w:marBottom w:val="0"/>
      <w:divBdr>
        <w:top w:val="none" w:sz="0" w:space="0" w:color="auto"/>
        <w:left w:val="none" w:sz="0" w:space="0" w:color="auto"/>
        <w:bottom w:val="none" w:sz="0" w:space="0" w:color="auto"/>
        <w:right w:val="none" w:sz="0" w:space="0" w:color="auto"/>
      </w:divBdr>
    </w:div>
    <w:div w:id="147092221">
      <w:marLeft w:val="0"/>
      <w:marRight w:val="0"/>
      <w:marTop w:val="100"/>
      <w:marBottom w:val="0"/>
      <w:divBdr>
        <w:top w:val="none" w:sz="0" w:space="0" w:color="auto"/>
        <w:left w:val="none" w:sz="0" w:space="0" w:color="auto"/>
        <w:bottom w:val="none" w:sz="0" w:space="0" w:color="auto"/>
        <w:right w:val="none" w:sz="0" w:space="0" w:color="auto"/>
      </w:divBdr>
    </w:div>
    <w:div w:id="147985677">
      <w:marLeft w:val="0"/>
      <w:marRight w:val="0"/>
      <w:marTop w:val="100"/>
      <w:marBottom w:val="0"/>
      <w:divBdr>
        <w:top w:val="none" w:sz="0" w:space="0" w:color="auto"/>
        <w:left w:val="none" w:sz="0" w:space="0" w:color="auto"/>
        <w:bottom w:val="none" w:sz="0" w:space="0" w:color="auto"/>
        <w:right w:val="none" w:sz="0" w:space="0" w:color="auto"/>
      </w:divBdr>
    </w:div>
    <w:div w:id="149251073">
      <w:marLeft w:val="0"/>
      <w:marRight w:val="0"/>
      <w:marTop w:val="100"/>
      <w:marBottom w:val="0"/>
      <w:divBdr>
        <w:top w:val="none" w:sz="0" w:space="0" w:color="auto"/>
        <w:left w:val="none" w:sz="0" w:space="0" w:color="auto"/>
        <w:bottom w:val="none" w:sz="0" w:space="0" w:color="auto"/>
        <w:right w:val="none" w:sz="0" w:space="0" w:color="auto"/>
      </w:divBdr>
    </w:div>
    <w:div w:id="150952564">
      <w:marLeft w:val="0"/>
      <w:marRight w:val="0"/>
      <w:marTop w:val="100"/>
      <w:marBottom w:val="0"/>
      <w:divBdr>
        <w:top w:val="none" w:sz="0" w:space="0" w:color="auto"/>
        <w:left w:val="none" w:sz="0" w:space="0" w:color="auto"/>
        <w:bottom w:val="none" w:sz="0" w:space="0" w:color="auto"/>
        <w:right w:val="none" w:sz="0" w:space="0" w:color="auto"/>
      </w:divBdr>
      <w:divsChild>
        <w:div w:id="648098003">
          <w:marLeft w:val="0"/>
          <w:marRight w:val="0"/>
          <w:marTop w:val="0"/>
          <w:marBottom w:val="0"/>
          <w:divBdr>
            <w:top w:val="none" w:sz="0" w:space="0" w:color="auto"/>
            <w:left w:val="none" w:sz="0" w:space="0" w:color="auto"/>
            <w:bottom w:val="none" w:sz="0" w:space="0" w:color="auto"/>
            <w:right w:val="none" w:sz="0" w:space="0" w:color="auto"/>
          </w:divBdr>
        </w:div>
        <w:div w:id="460734708">
          <w:marLeft w:val="0"/>
          <w:marRight w:val="0"/>
          <w:marTop w:val="0"/>
          <w:marBottom w:val="0"/>
          <w:divBdr>
            <w:top w:val="none" w:sz="0" w:space="0" w:color="auto"/>
            <w:left w:val="none" w:sz="0" w:space="0" w:color="auto"/>
            <w:bottom w:val="none" w:sz="0" w:space="0" w:color="auto"/>
            <w:right w:val="none" w:sz="0" w:space="0" w:color="auto"/>
          </w:divBdr>
        </w:div>
      </w:divsChild>
    </w:div>
    <w:div w:id="151142130">
      <w:marLeft w:val="0"/>
      <w:marRight w:val="0"/>
      <w:marTop w:val="280"/>
      <w:marBottom w:val="0"/>
      <w:divBdr>
        <w:top w:val="none" w:sz="0" w:space="0" w:color="auto"/>
        <w:left w:val="none" w:sz="0" w:space="0" w:color="auto"/>
        <w:bottom w:val="none" w:sz="0" w:space="0" w:color="auto"/>
        <w:right w:val="none" w:sz="0" w:space="0" w:color="auto"/>
      </w:divBdr>
    </w:div>
    <w:div w:id="164325085">
      <w:marLeft w:val="0"/>
      <w:marRight w:val="0"/>
      <w:marTop w:val="280"/>
      <w:marBottom w:val="0"/>
      <w:divBdr>
        <w:top w:val="none" w:sz="0" w:space="0" w:color="auto"/>
        <w:left w:val="none" w:sz="0" w:space="0" w:color="auto"/>
        <w:bottom w:val="none" w:sz="0" w:space="0" w:color="auto"/>
        <w:right w:val="none" w:sz="0" w:space="0" w:color="auto"/>
      </w:divBdr>
    </w:div>
    <w:div w:id="164713510">
      <w:marLeft w:val="0"/>
      <w:marRight w:val="0"/>
      <w:marTop w:val="100"/>
      <w:marBottom w:val="0"/>
      <w:divBdr>
        <w:top w:val="none" w:sz="0" w:space="0" w:color="auto"/>
        <w:left w:val="none" w:sz="0" w:space="0" w:color="auto"/>
        <w:bottom w:val="none" w:sz="0" w:space="0" w:color="auto"/>
        <w:right w:val="none" w:sz="0" w:space="0" w:color="auto"/>
      </w:divBdr>
      <w:divsChild>
        <w:div w:id="1516067188">
          <w:marLeft w:val="0"/>
          <w:marRight w:val="0"/>
          <w:marTop w:val="0"/>
          <w:marBottom w:val="0"/>
          <w:divBdr>
            <w:top w:val="none" w:sz="0" w:space="0" w:color="auto"/>
            <w:left w:val="none" w:sz="0" w:space="0" w:color="auto"/>
            <w:bottom w:val="none" w:sz="0" w:space="0" w:color="auto"/>
            <w:right w:val="none" w:sz="0" w:space="0" w:color="auto"/>
          </w:divBdr>
        </w:div>
      </w:divsChild>
    </w:div>
    <w:div w:id="166948344">
      <w:marLeft w:val="0"/>
      <w:marRight w:val="0"/>
      <w:marTop w:val="60"/>
      <w:marBottom w:val="0"/>
      <w:divBdr>
        <w:top w:val="none" w:sz="0" w:space="0" w:color="auto"/>
        <w:left w:val="none" w:sz="0" w:space="0" w:color="auto"/>
        <w:bottom w:val="none" w:sz="0" w:space="0" w:color="auto"/>
        <w:right w:val="none" w:sz="0" w:space="0" w:color="auto"/>
      </w:divBdr>
    </w:div>
    <w:div w:id="173034400">
      <w:marLeft w:val="0"/>
      <w:marRight w:val="0"/>
      <w:marTop w:val="0"/>
      <w:marBottom w:val="0"/>
      <w:divBdr>
        <w:top w:val="none" w:sz="0" w:space="0" w:color="auto"/>
        <w:left w:val="none" w:sz="0" w:space="0" w:color="auto"/>
        <w:bottom w:val="none" w:sz="0" w:space="0" w:color="auto"/>
        <w:right w:val="none" w:sz="0" w:space="0" w:color="auto"/>
      </w:divBdr>
    </w:div>
    <w:div w:id="181019578">
      <w:marLeft w:val="0"/>
      <w:marRight w:val="0"/>
      <w:marTop w:val="100"/>
      <w:marBottom w:val="100"/>
      <w:divBdr>
        <w:top w:val="none" w:sz="0" w:space="0" w:color="auto"/>
        <w:left w:val="none" w:sz="0" w:space="0" w:color="auto"/>
        <w:bottom w:val="none" w:sz="0" w:space="0" w:color="auto"/>
        <w:right w:val="none" w:sz="0" w:space="0" w:color="auto"/>
      </w:divBdr>
    </w:div>
    <w:div w:id="181483220">
      <w:marLeft w:val="0"/>
      <w:marRight w:val="0"/>
      <w:marTop w:val="280"/>
      <w:marBottom w:val="0"/>
      <w:divBdr>
        <w:top w:val="none" w:sz="0" w:space="0" w:color="auto"/>
        <w:left w:val="none" w:sz="0" w:space="0" w:color="auto"/>
        <w:bottom w:val="none" w:sz="0" w:space="0" w:color="auto"/>
        <w:right w:val="none" w:sz="0" w:space="0" w:color="auto"/>
      </w:divBdr>
    </w:div>
    <w:div w:id="181939220">
      <w:marLeft w:val="0"/>
      <w:marRight w:val="0"/>
      <w:marTop w:val="0"/>
      <w:marBottom w:val="0"/>
      <w:divBdr>
        <w:top w:val="none" w:sz="0" w:space="0" w:color="auto"/>
        <w:left w:val="none" w:sz="0" w:space="0" w:color="auto"/>
        <w:bottom w:val="none" w:sz="0" w:space="0" w:color="auto"/>
        <w:right w:val="none" w:sz="0" w:space="0" w:color="auto"/>
      </w:divBdr>
      <w:divsChild>
        <w:div w:id="1042437039">
          <w:marLeft w:val="0"/>
          <w:marRight w:val="0"/>
          <w:marTop w:val="0"/>
          <w:marBottom w:val="0"/>
          <w:divBdr>
            <w:top w:val="none" w:sz="0" w:space="0" w:color="auto"/>
            <w:left w:val="none" w:sz="0" w:space="0" w:color="auto"/>
            <w:bottom w:val="none" w:sz="0" w:space="0" w:color="auto"/>
            <w:right w:val="none" w:sz="0" w:space="0" w:color="auto"/>
          </w:divBdr>
        </w:div>
      </w:divsChild>
    </w:div>
    <w:div w:id="187988559">
      <w:marLeft w:val="0"/>
      <w:marRight w:val="0"/>
      <w:marTop w:val="0"/>
      <w:marBottom w:val="0"/>
      <w:divBdr>
        <w:top w:val="none" w:sz="0" w:space="0" w:color="auto"/>
        <w:left w:val="none" w:sz="0" w:space="0" w:color="auto"/>
        <w:bottom w:val="none" w:sz="0" w:space="0" w:color="auto"/>
        <w:right w:val="none" w:sz="0" w:space="0" w:color="auto"/>
      </w:divBdr>
      <w:divsChild>
        <w:div w:id="1888908240">
          <w:marLeft w:val="0"/>
          <w:marRight w:val="0"/>
          <w:marTop w:val="0"/>
          <w:marBottom w:val="0"/>
          <w:divBdr>
            <w:top w:val="none" w:sz="0" w:space="0" w:color="auto"/>
            <w:left w:val="none" w:sz="0" w:space="0" w:color="auto"/>
            <w:bottom w:val="none" w:sz="0" w:space="0" w:color="auto"/>
            <w:right w:val="none" w:sz="0" w:space="0" w:color="auto"/>
          </w:divBdr>
        </w:div>
      </w:divsChild>
    </w:div>
    <w:div w:id="193200523">
      <w:marLeft w:val="0"/>
      <w:marRight w:val="0"/>
      <w:marTop w:val="280"/>
      <w:marBottom w:val="0"/>
      <w:divBdr>
        <w:top w:val="none" w:sz="0" w:space="0" w:color="auto"/>
        <w:left w:val="none" w:sz="0" w:space="0" w:color="auto"/>
        <w:bottom w:val="none" w:sz="0" w:space="0" w:color="auto"/>
        <w:right w:val="none" w:sz="0" w:space="0" w:color="auto"/>
      </w:divBdr>
    </w:div>
    <w:div w:id="199057604">
      <w:marLeft w:val="0"/>
      <w:marRight w:val="0"/>
      <w:marTop w:val="280"/>
      <w:marBottom w:val="0"/>
      <w:divBdr>
        <w:top w:val="none" w:sz="0" w:space="0" w:color="auto"/>
        <w:left w:val="none" w:sz="0" w:space="0" w:color="auto"/>
        <w:bottom w:val="none" w:sz="0" w:space="0" w:color="auto"/>
        <w:right w:val="none" w:sz="0" w:space="0" w:color="auto"/>
      </w:divBdr>
    </w:div>
    <w:div w:id="203059289">
      <w:marLeft w:val="0"/>
      <w:marRight w:val="0"/>
      <w:marTop w:val="100"/>
      <w:marBottom w:val="0"/>
      <w:divBdr>
        <w:top w:val="none" w:sz="0" w:space="0" w:color="auto"/>
        <w:left w:val="none" w:sz="0" w:space="0" w:color="auto"/>
        <w:bottom w:val="none" w:sz="0" w:space="0" w:color="auto"/>
        <w:right w:val="none" w:sz="0" w:space="0" w:color="auto"/>
      </w:divBdr>
    </w:div>
    <w:div w:id="208415743">
      <w:marLeft w:val="0"/>
      <w:marRight w:val="0"/>
      <w:marTop w:val="100"/>
      <w:marBottom w:val="0"/>
      <w:divBdr>
        <w:top w:val="none" w:sz="0" w:space="0" w:color="auto"/>
        <w:left w:val="none" w:sz="0" w:space="0" w:color="auto"/>
        <w:bottom w:val="none" w:sz="0" w:space="0" w:color="auto"/>
        <w:right w:val="none" w:sz="0" w:space="0" w:color="auto"/>
      </w:divBdr>
    </w:div>
    <w:div w:id="213976237">
      <w:marLeft w:val="0"/>
      <w:marRight w:val="0"/>
      <w:marTop w:val="0"/>
      <w:marBottom w:val="0"/>
      <w:divBdr>
        <w:top w:val="none" w:sz="0" w:space="0" w:color="auto"/>
        <w:left w:val="none" w:sz="0" w:space="0" w:color="auto"/>
        <w:bottom w:val="none" w:sz="0" w:space="0" w:color="auto"/>
        <w:right w:val="none" w:sz="0" w:space="0" w:color="auto"/>
      </w:divBdr>
      <w:divsChild>
        <w:div w:id="1961715646">
          <w:marLeft w:val="0"/>
          <w:marRight w:val="0"/>
          <w:marTop w:val="0"/>
          <w:marBottom w:val="0"/>
          <w:divBdr>
            <w:top w:val="none" w:sz="0" w:space="0" w:color="auto"/>
            <w:left w:val="none" w:sz="0" w:space="0" w:color="auto"/>
            <w:bottom w:val="none" w:sz="0" w:space="0" w:color="auto"/>
            <w:right w:val="none" w:sz="0" w:space="0" w:color="auto"/>
          </w:divBdr>
        </w:div>
      </w:divsChild>
    </w:div>
    <w:div w:id="214434746">
      <w:marLeft w:val="0"/>
      <w:marRight w:val="0"/>
      <w:marTop w:val="0"/>
      <w:marBottom w:val="0"/>
      <w:divBdr>
        <w:top w:val="none" w:sz="0" w:space="0" w:color="auto"/>
        <w:left w:val="none" w:sz="0" w:space="0" w:color="auto"/>
        <w:bottom w:val="none" w:sz="0" w:space="0" w:color="auto"/>
        <w:right w:val="none" w:sz="0" w:space="0" w:color="auto"/>
      </w:divBdr>
    </w:div>
    <w:div w:id="218321867">
      <w:marLeft w:val="0"/>
      <w:marRight w:val="0"/>
      <w:marTop w:val="100"/>
      <w:marBottom w:val="0"/>
      <w:divBdr>
        <w:top w:val="none" w:sz="0" w:space="0" w:color="auto"/>
        <w:left w:val="none" w:sz="0" w:space="0" w:color="auto"/>
        <w:bottom w:val="none" w:sz="0" w:space="0" w:color="auto"/>
        <w:right w:val="none" w:sz="0" w:space="0" w:color="auto"/>
      </w:divBdr>
    </w:div>
    <w:div w:id="220558794">
      <w:marLeft w:val="0"/>
      <w:marRight w:val="0"/>
      <w:marTop w:val="120"/>
      <w:marBottom w:val="100"/>
      <w:divBdr>
        <w:top w:val="none" w:sz="0" w:space="0" w:color="auto"/>
        <w:left w:val="none" w:sz="0" w:space="0" w:color="auto"/>
        <w:bottom w:val="none" w:sz="0" w:space="0" w:color="auto"/>
        <w:right w:val="none" w:sz="0" w:space="0" w:color="auto"/>
      </w:divBdr>
    </w:div>
    <w:div w:id="226065969">
      <w:marLeft w:val="0"/>
      <w:marRight w:val="0"/>
      <w:marTop w:val="100"/>
      <w:marBottom w:val="0"/>
      <w:divBdr>
        <w:top w:val="none" w:sz="0" w:space="0" w:color="auto"/>
        <w:left w:val="none" w:sz="0" w:space="0" w:color="auto"/>
        <w:bottom w:val="none" w:sz="0" w:space="0" w:color="auto"/>
        <w:right w:val="none" w:sz="0" w:space="0" w:color="auto"/>
      </w:divBdr>
      <w:divsChild>
        <w:div w:id="1698197146">
          <w:marLeft w:val="0"/>
          <w:marRight w:val="0"/>
          <w:marTop w:val="0"/>
          <w:marBottom w:val="0"/>
          <w:divBdr>
            <w:top w:val="none" w:sz="0" w:space="0" w:color="auto"/>
            <w:left w:val="none" w:sz="0" w:space="0" w:color="auto"/>
            <w:bottom w:val="none" w:sz="0" w:space="0" w:color="auto"/>
            <w:right w:val="none" w:sz="0" w:space="0" w:color="auto"/>
          </w:divBdr>
        </w:div>
        <w:div w:id="770468151">
          <w:marLeft w:val="0"/>
          <w:marRight w:val="0"/>
          <w:marTop w:val="0"/>
          <w:marBottom w:val="0"/>
          <w:divBdr>
            <w:top w:val="none" w:sz="0" w:space="0" w:color="auto"/>
            <w:left w:val="none" w:sz="0" w:space="0" w:color="auto"/>
            <w:bottom w:val="none" w:sz="0" w:space="0" w:color="auto"/>
            <w:right w:val="none" w:sz="0" w:space="0" w:color="auto"/>
          </w:divBdr>
        </w:div>
      </w:divsChild>
    </w:div>
    <w:div w:id="226769694">
      <w:marLeft w:val="0"/>
      <w:marRight w:val="0"/>
      <w:marTop w:val="100"/>
      <w:marBottom w:val="0"/>
      <w:divBdr>
        <w:top w:val="none" w:sz="0" w:space="0" w:color="auto"/>
        <w:left w:val="none" w:sz="0" w:space="0" w:color="auto"/>
        <w:bottom w:val="none" w:sz="0" w:space="0" w:color="auto"/>
        <w:right w:val="none" w:sz="0" w:space="0" w:color="auto"/>
      </w:divBdr>
    </w:div>
    <w:div w:id="228226117">
      <w:marLeft w:val="0"/>
      <w:marRight w:val="0"/>
      <w:marTop w:val="100"/>
      <w:marBottom w:val="0"/>
      <w:divBdr>
        <w:top w:val="none" w:sz="0" w:space="0" w:color="auto"/>
        <w:left w:val="none" w:sz="0" w:space="0" w:color="auto"/>
        <w:bottom w:val="none" w:sz="0" w:space="0" w:color="auto"/>
        <w:right w:val="none" w:sz="0" w:space="0" w:color="auto"/>
      </w:divBdr>
    </w:div>
    <w:div w:id="229196387">
      <w:marLeft w:val="0"/>
      <w:marRight w:val="0"/>
      <w:marTop w:val="0"/>
      <w:marBottom w:val="0"/>
      <w:divBdr>
        <w:top w:val="none" w:sz="0" w:space="0" w:color="auto"/>
        <w:left w:val="none" w:sz="0" w:space="0" w:color="auto"/>
        <w:bottom w:val="none" w:sz="0" w:space="0" w:color="auto"/>
        <w:right w:val="none" w:sz="0" w:space="0" w:color="auto"/>
      </w:divBdr>
    </w:div>
    <w:div w:id="238491373">
      <w:marLeft w:val="0"/>
      <w:marRight w:val="0"/>
      <w:marTop w:val="100"/>
      <w:marBottom w:val="0"/>
      <w:divBdr>
        <w:top w:val="none" w:sz="0" w:space="0" w:color="auto"/>
        <w:left w:val="none" w:sz="0" w:space="0" w:color="auto"/>
        <w:bottom w:val="none" w:sz="0" w:space="0" w:color="auto"/>
        <w:right w:val="none" w:sz="0" w:space="0" w:color="auto"/>
      </w:divBdr>
    </w:div>
    <w:div w:id="238828583">
      <w:marLeft w:val="0"/>
      <w:marRight w:val="0"/>
      <w:marTop w:val="40"/>
      <w:marBottom w:val="0"/>
      <w:divBdr>
        <w:top w:val="none" w:sz="0" w:space="0" w:color="auto"/>
        <w:left w:val="none" w:sz="0" w:space="0" w:color="auto"/>
        <w:bottom w:val="none" w:sz="0" w:space="0" w:color="auto"/>
        <w:right w:val="none" w:sz="0" w:space="0" w:color="auto"/>
      </w:divBdr>
    </w:div>
    <w:div w:id="241448934">
      <w:marLeft w:val="0"/>
      <w:marRight w:val="0"/>
      <w:marTop w:val="100"/>
      <w:marBottom w:val="0"/>
      <w:divBdr>
        <w:top w:val="none" w:sz="0" w:space="0" w:color="auto"/>
        <w:left w:val="none" w:sz="0" w:space="0" w:color="auto"/>
        <w:bottom w:val="none" w:sz="0" w:space="0" w:color="auto"/>
        <w:right w:val="none" w:sz="0" w:space="0" w:color="auto"/>
      </w:divBdr>
    </w:div>
    <w:div w:id="251398320">
      <w:marLeft w:val="0"/>
      <w:marRight w:val="0"/>
      <w:marTop w:val="100"/>
      <w:marBottom w:val="0"/>
      <w:divBdr>
        <w:top w:val="none" w:sz="0" w:space="0" w:color="auto"/>
        <w:left w:val="none" w:sz="0" w:space="0" w:color="auto"/>
        <w:bottom w:val="none" w:sz="0" w:space="0" w:color="auto"/>
        <w:right w:val="none" w:sz="0" w:space="0" w:color="auto"/>
      </w:divBdr>
    </w:div>
    <w:div w:id="252014851">
      <w:marLeft w:val="0"/>
      <w:marRight w:val="0"/>
      <w:marTop w:val="100"/>
      <w:marBottom w:val="0"/>
      <w:divBdr>
        <w:top w:val="none" w:sz="0" w:space="0" w:color="auto"/>
        <w:left w:val="none" w:sz="0" w:space="0" w:color="auto"/>
        <w:bottom w:val="none" w:sz="0" w:space="0" w:color="auto"/>
        <w:right w:val="none" w:sz="0" w:space="0" w:color="auto"/>
      </w:divBdr>
    </w:div>
    <w:div w:id="256794771">
      <w:marLeft w:val="0"/>
      <w:marRight w:val="0"/>
      <w:marTop w:val="0"/>
      <w:marBottom w:val="0"/>
      <w:divBdr>
        <w:top w:val="none" w:sz="0" w:space="0" w:color="auto"/>
        <w:left w:val="none" w:sz="0" w:space="0" w:color="auto"/>
        <w:bottom w:val="none" w:sz="0" w:space="0" w:color="auto"/>
        <w:right w:val="none" w:sz="0" w:space="0" w:color="auto"/>
      </w:divBdr>
      <w:divsChild>
        <w:div w:id="1351832228">
          <w:marLeft w:val="0"/>
          <w:marRight w:val="0"/>
          <w:marTop w:val="0"/>
          <w:marBottom w:val="0"/>
          <w:divBdr>
            <w:top w:val="none" w:sz="0" w:space="0" w:color="auto"/>
            <w:left w:val="none" w:sz="0" w:space="0" w:color="auto"/>
            <w:bottom w:val="none" w:sz="0" w:space="0" w:color="auto"/>
            <w:right w:val="none" w:sz="0" w:space="0" w:color="auto"/>
          </w:divBdr>
        </w:div>
      </w:divsChild>
    </w:div>
    <w:div w:id="257830366">
      <w:marLeft w:val="0"/>
      <w:marRight w:val="0"/>
      <w:marTop w:val="100"/>
      <w:marBottom w:val="0"/>
      <w:divBdr>
        <w:top w:val="none" w:sz="0" w:space="0" w:color="auto"/>
        <w:left w:val="none" w:sz="0" w:space="0" w:color="auto"/>
        <w:bottom w:val="none" w:sz="0" w:space="0" w:color="auto"/>
        <w:right w:val="none" w:sz="0" w:space="0" w:color="auto"/>
      </w:divBdr>
    </w:div>
    <w:div w:id="267010162">
      <w:marLeft w:val="0"/>
      <w:marRight w:val="0"/>
      <w:marTop w:val="0"/>
      <w:marBottom w:val="0"/>
      <w:divBdr>
        <w:top w:val="none" w:sz="0" w:space="0" w:color="auto"/>
        <w:left w:val="none" w:sz="0" w:space="0" w:color="auto"/>
        <w:bottom w:val="none" w:sz="0" w:space="0" w:color="auto"/>
        <w:right w:val="none" w:sz="0" w:space="0" w:color="auto"/>
      </w:divBdr>
    </w:div>
    <w:div w:id="280453907">
      <w:marLeft w:val="0"/>
      <w:marRight w:val="0"/>
      <w:marTop w:val="280"/>
      <w:marBottom w:val="0"/>
      <w:divBdr>
        <w:top w:val="none" w:sz="0" w:space="0" w:color="auto"/>
        <w:left w:val="none" w:sz="0" w:space="0" w:color="auto"/>
        <w:bottom w:val="none" w:sz="0" w:space="0" w:color="auto"/>
        <w:right w:val="none" w:sz="0" w:space="0" w:color="auto"/>
      </w:divBdr>
    </w:div>
    <w:div w:id="295454130">
      <w:marLeft w:val="0"/>
      <w:marRight w:val="0"/>
      <w:marTop w:val="280"/>
      <w:marBottom w:val="0"/>
      <w:divBdr>
        <w:top w:val="none" w:sz="0" w:space="0" w:color="auto"/>
        <w:left w:val="none" w:sz="0" w:space="0" w:color="auto"/>
        <w:bottom w:val="none" w:sz="0" w:space="0" w:color="auto"/>
        <w:right w:val="none" w:sz="0" w:space="0" w:color="auto"/>
      </w:divBdr>
    </w:div>
    <w:div w:id="300112959">
      <w:marLeft w:val="0"/>
      <w:marRight w:val="0"/>
      <w:marTop w:val="0"/>
      <w:marBottom w:val="0"/>
      <w:divBdr>
        <w:top w:val="none" w:sz="0" w:space="0" w:color="auto"/>
        <w:left w:val="none" w:sz="0" w:space="0" w:color="auto"/>
        <w:bottom w:val="none" w:sz="0" w:space="0" w:color="auto"/>
        <w:right w:val="none" w:sz="0" w:space="0" w:color="auto"/>
      </w:divBdr>
    </w:div>
    <w:div w:id="302348956">
      <w:marLeft w:val="0"/>
      <w:marRight w:val="0"/>
      <w:marTop w:val="100"/>
      <w:marBottom w:val="0"/>
      <w:divBdr>
        <w:top w:val="none" w:sz="0" w:space="0" w:color="auto"/>
        <w:left w:val="none" w:sz="0" w:space="0" w:color="auto"/>
        <w:bottom w:val="none" w:sz="0" w:space="0" w:color="auto"/>
        <w:right w:val="none" w:sz="0" w:space="0" w:color="auto"/>
      </w:divBdr>
    </w:div>
    <w:div w:id="302587308">
      <w:marLeft w:val="0"/>
      <w:marRight w:val="0"/>
      <w:marTop w:val="100"/>
      <w:marBottom w:val="0"/>
      <w:divBdr>
        <w:top w:val="none" w:sz="0" w:space="0" w:color="auto"/>
        <w:left w:val="none" w:sz="0" w:space="0" w:color="auto"/>
        <w:bottom w:val="none" w:sz="0" w:space="0" w:color="auto"/>
        <w:right w:val="none" w:sz="0" w:space="0" w:color="auto"/>
      </w:divBdr>
    </w:div>
    <w:div w:id="303434178">
      <w:marLeft w:val="0"/>
      <w:marRight w:val="0"/>
      <w:marTop w:val="100"/>
      <w:marBottom w:val="0"/>
      <w:divBdr>
        <w:top w:val="none" w:sz="0" w:space="0" w:color="auto"/>
        <w:left w:val="none" w:sz="0" w:space="0" w:color="auto"/>
        <w:bottom w:val="none" w:sz="0" w:space="0" w:color="auto"/>
        <w:right w:val="none" w:sz="0" w:space="0" w:color="auto"/>
      </w:divBdr>
    </w:div>
    <w:div w:id="303660870">
      <w:marLeft w:val="0"/>
      <w:marRight w:val="0"/>
      <w:marTop w:val="40"/>
      <w:marBottom w:val="0"/>
      <w:divBdr>
        <w:top w:val="none" w:sz="0" w:space="0" w:color="auto"/>
        <w:left w:val="none" w:sz="0" w:space="0" w:color="auto"/>
        <w:bottom w:val="none" w:sz="0" w:space="0" w:color="auto"/>
        <w:right w:val="none" w:sz="0" w:space="0" w:color="auto"/>
      </w:divBdr>
    </w:div>
    <w:div w:id="310788556">
      <w:marLeft w:val="0"/>
      <w:marRight w:val="0"/>
      <w:marTop w:val="100"/>
      <w:marBottom w:val="0"/>
      <w:divBdr>
        <w:top w:val="none" w:sz="0" w:space="0" w:color="auto"/>
        <w:left w:val="none" w:sz="0" w:space="0" w:color="auto"/>
        <w:bottom w:val="none" w:sz="0" w:space="0" w:color="auto"/>
        <w:right w:val="none" w:sz="0" w:space="0" w:color="auto"/>
      </w:divBdr>
    </w:div>
    <w:div w:id="320306418">
      <w:marLeft w:val="0"/>
      <w:marRight w:val="0"/>
      <w:marTop w:val="100"/>
      <w:marBottom w:val="0"/>
      <w:divBdr>
        <w:top w:val="none" w:sz="0" w:space="0" w:color="auto"/>
        <w:left w:val="none" w:sz="0" w:space="0" w:color="auto"/>
        <w:bottom w:val="none" w:sz="0" w:space="0" w:color="auto"/>
        <w:right w:val="none" w:sz="0" w:space="0" w:color="auto"/>
      </w:divBdr>
    </w:div>
    <w:div w:id="321277136">
      <w:marLeft w:val="0"/>
      <w:marRight w:val="0"/>
      <w:marTop w:val="100"/>
      <w:marBottom w:val="0"/>
      <w:divBdr>
        <w:top w:val="none" w:sz="0" w:space="0" w:color="auto"/>
        <w:left w:val="none" w:sz="0" w:space="0" w:color="auto"/>
        <w:bottom w:val="none" w:sz="0" w:space="0" w:color="auto"/>
        <w:right w:val="none" w:sz="0" w:space="0" w:color="auto"/>
      </w:divBdr>
    </w:div>
    <w:div w:id="321549350">
      <w:marLeft w:val="0"/>
      <w:marRight w:val="0"/>
      <w:marTop w:val="280"/>
      <w:marBottom w:val="0"/>
      <w:divBdr>
        <w:top w:val="none" w:sz="0" w:space="0" w:color="auto"/>
        <w:left w:val="none" w:sz="0" w:space="0" w:color="auto"/>
        <w:bottom w:val="none" w:sz="0" w:space="0" w:color="auto"/>
        <w:right w:val="none" w:sz="0" w:space="0" w:color="auto"/>
      </w:divBdr>
    </w:div>
    <w:div w:id="326323849">
      <w:marLeft w:val="0"/>
      <w:marRight w:val="0"/>
      <w:marTop w:val="100"/>
      <w:marBottom w:val="0"/>
      <w:divBdr>
        <w:top w:val="none" w:sz="0" w:space="0" w:color="auto"/>
        <w:left w:val="none" w:sz="0" w:space="0" w:color="auto"/>
        <w:bottom w:val="none" w:sz="0" w:space="0" w:color="auto"/>
        <w:right w:val="none" w:sz="0" w:space="0" w:color="auto"/>
      </w:divBdr>
    </w:div>
    <w:div w:id="326641583">
      <w:marLeft w:val="0"/>
      <w:marRight w:val="0"/>
      <w:marTop w:val="100"/>
      <w:marBottom w:val="0"/>
      <w:divBdr>
        <w:top w:val="none" w:sz="0" w:space="0" w:color="auto"/>
        <w:left w:val="none" w:sz="0" w:space="0" w:color="auto"/>
        <w:bottom w:val="none" w:sz="0" w:space="0" w:color="auto"/>
        <w:right w:val="none" w:sz="0" w:space="0" w:color="auto"/>
      </w:divBdr>
    </w:div>
    <w:div w:id="330135751">
      <w:marLeft w:val="0"/>
      <w:marRight w:val="0"/>
      <w:marTop w:val="280"/>
      <w:marBottom w:val="0"/>
      <w:divBdr>
        <w:top w:val="none" w:sz="0" w:space="0" w:color="auto"/>
        <w:left w:val="none" w:sz="0" w:space="0" w:color="auto"/>
        <w:bottom w:val="none" w:sz="0" w:space="0" w:color="auto"/>
        <w:right w:val="none" w:sz="0" w:space="0" w:color="auto"/>
      </w:divBdr>
    </w:div>
    <w:div w:id="334377871">
      <w:marLeft w:val="0"/>
      <w:marRight w:val="0"/>
      <w:marTop w:val="280"/>
      <w:marBottom w:val="0"/>
      <w:divBdr>
        <w:top w:val="none" w:sz="0" w:space="0" w:color="auto"/>
        <w:left w:val="none" w:sz="0" w:space="0" w:color="auto"/>
        <w:bottom w:val="none" w:sz="0" w:space="0" w:color="auto"/>
        <w:right w:val="none" w:sz="0" w:space="0" w:color="auto"/>
      </w:divBdr>
    </w:div>
    <w:div w:id="334501266">
      <w:marLeft w:val="0"/>
      <w:marRight w:val="0"/>
      <w:marTop w:val="100"/>
      <w:marBottom w:val="0"/>
      <w:divBdr>
        <w:top w:val="none" w:sz="0" w:space="0" w:color="auto"/>
        <w:left w:val="none" w:sz="0" w:space="0" w:color="auto"/>
        <w:bottom w:val="none" w:sz="0" w:space="0" w:color="auto"/>
        <w:right w:val="none" w:sz="0" w:space="0" w:color="auto"/>
      </w:divBdr>
    </w:div>
    <w:div w:id="336886137">
      <w:marLeft w:val="0"/>
      <w:marRight w:val="0"/>
      <w:marTop w:val="100"/>
      <w:marBottom w:val="0"/>
      <w:divBdr>
        <w:top w:val="none" w:sz="0" w:space="0" w:color="auto"/>
        <w:left w:val="none" w:sz="0" w:space="0" w:color="auto"/>
        <w:bottom w:val="none" w:sz="0" w:space="0" w:color="auto"/>
        <w:right w:val="none" w:sz="0" w:space="0" w:color="auto"/>
      </w:divBdr>
    </w:div>
    <w:div w:id="338435561">
      <w:marLeft w:val="0"/>
      <w:marRight w:val="0"/>
      <w:marTop w:val="280"/>
      <w:marBottom w:val="0"/>
      <w:divBdr>
        <w:top w:val="none" w:sz="0" w:space="0" w:color="auto"/>
        <w:left w:val="none" w:sz="0" w:space="0" w:color="auto"/>
        <w:bottom w:val="none" w:sz="0" w:space="0" w:color="auto"/>
        <w:right w:val="none" w:sz="0" w:space="0" w:color="auto"/>
      </w:divBdr>
    </w:div>
    <w:div w:id="341863565">
      <w:marLeft w:val="0"/>
      <w:marRight w:val="0"/>
      <w:marTop w:val="100"/>
      <w:marBottom w:val="0"/>
      <w:divBdr>
        <w:top w:val="none" w:sz="0" w:space="0" w:color="auto"/>
        <w:left w:val="none" w:sz="0" w:space="0" w:color="auto"/>
        <w:bottom w:val="none" w:sz="0" w:space="0" w:color="auto"/>
        <w:right w:val="none" w:sz="0" w:space="0" w:color="auto"/>
      </w:divBdr>
    </w:div>
    <w:div w:id="346057073">
      <w:marLeft w:val="0"/>
      <w:marRight w:val="0"/>
      <w:marTop w:val="0"/>
      <w:marBottom w:val="0"/>
      <w:divBdr>
        <w:top w:val="none" w:sz="0" w:space="0" w:color="auto"/>
        <w:left w:val="none" w:sz="0" w:space="0" w:color="auto"/>
        <w:bottom w:val="none" w:sz="0" w:space="0" w:color="auto"/>
        <w:right w:val="none" w:sz="0" w:space="0" w:color="auto"/>
      </w:divBdr>
    </w:div>
    <w:div w:id="347870001">
      <w:marLeft w:val="0"/>
      <w:marRight w:val="0"/>
      <w:marTop w:val="100"/>
      <w:marBottom w:val="0"/>
      <w:divBdr>
        <w:top w:val="none" w:sz="0" w:space="0" w:color="auto"/>
        <w:left w:val="none" w:sz="0" w:space="0" w:color="auto"/>
        <w:bottom w:val="none" w:sz="0" w:space="0" w:color="auto"/>
        <w:right w:val="none" w:sz="0" w:space="0" w:color="auto"/>
      </w:divBdr>
    </w:div>
    <w:div w:id="348678302">
      <w:marLeft w:val="0"/>
      <w:marRight w:val="0"/>
      <w:marTop w:val="100"/>
      <w:marBottom w:val="0"/>
      <w:divBdr>
        <w:top w:val="none" w:sz="0" w:space="0" w:color="auto"/>
        <w:left w:val="none" w:sz="0" w:space="0" w:color="auto"/>
        <w:bottom w:val="none" w:sz="0" w:space="0" w:color="auto"/>
        <w:right w:val="none" w:sz="0" w:space="0" w:color="auto"/>
      </w:divBdr>
    </w:div>
    <w:div w:id="350189038">
      <w:marLeft w:val="0"/>
      <w:marRight w:val="0"/>
      <w:marTop w:val="100"/>
      <w:marBottom w:val="0"/>
      <w:divBdr>
        <w:top w:val="none" w:sz="0" w:space="0" w:color="auto"/>
        <w:left w:val="none" w:sz="0" w:space="0" w:color="auto"/>
        <w:bottom w:val="none" w:sz="0" w:space="0" w:color="auto"/>
        <w:right w:val="none" w:sz="0" w:space="0" w:color="auto"/>
      </w:divBdr>
    </w:div>
    <w:div w:id="351960931">
      <w:marLeft w:val="0"/>
      <w:marRight w:val="0"/>
      <w:marTop w:val="0"/>
      <w:marBottom w:val="0"/>
      <w:divBdr>
        <w:top w:val="none" w:sz="0" w:space="0" w:color="auto"/>
        <w:left w:val="none" w:sz="0" w:space="0" w:color="auto"/>
        <w:bottom w:val="none" w:sz="0" w:space="0" w:color="auto"/>
        <w:right w:val="none" w:sz="0" w:space="0" w:color="auto"/>
      </w:divBdr>
    </w:div>
    <w:div w:id="356472290">
      <w:marLeft w:val="0"/>
      <w:marRight w:val="0"/>
      <w:marTop w:val="280"/>
      <w:marBottom w:val="0"/>
      <w:divBdr>
        <w:top w:val="none" w:sz="0" w:space="0" w:color="auto"/>
        <w:left w:val="none" w:sz="0" w:space="0" w:color="auto"/>
        <w:bottom w:val="none" w:sz="0" w:space="0" w:color="auto"/>
        <w:right w:val="none" w:sz="0" w:space="0" w:color="auto"/>
      </w:divBdr>
    </w:div>
    <w:div w:id="367603633">
      <w:marLeft w:val="0"/>
      <w:marRight w:val="0"/>
      <w:marTop w:val="0"/>
      <w:marBottom w:val="0"/>
      <w:divBdr>
        <w:top w:val="none" w:sz="0" w:space="0" w:color="auto"/>
        <w:left w:val="none" w:sz="0" w:space="0" w:color="auto"/>
        <w:bottom w:val="none" w:sz="0" w:space="0" w:color="auto"/>
        <w:right w:val="none" w:sz="0" w:space="0" w:color="auto"/>
      </w:divBdr>
    </w:div>
    <w:div w:id="367796861">
      <w:marLeft w:val="0"/>
      <w:marRight w:val="0"/>
      <w:marTop w:val="40"/>
      <w:marBottom w:val="0"/>
      <w:divBdr>
        <w:top w:val="none" w:sz="0" w:space="0" w:color="auto"/>
        <w:left w:val="none" w:sz="0" w:space="0" w:color="auto"/>
        <w:bottom w:val="none" w:sz="0" w:space="0" w:color="auto"/>
        <w:right w:val="none" w:sz="0" w:space="0" w:color="auto"/>
      </w:divBdr>
    </w:div>
    <w:div w:id="381755843">
      <w:marLeft w:val="0"/>
      <w:marRight w:val="0"/>
      <w:marTop w:val="100"/>
      <w:marBottom w:val="0"/>
      <w:divBdr>
        <w:top w:val="none" w:sz="0" w:space="0" w:color="auto"/>
        <w:left w:val="none" w:sz="0" w:space="0" w:color="auto"/>
        <w:bottom w:val="none" w:sz="0" w:space="0" w:color="auto"/>
        <w:right w:val="none" w:sz="0" w:space="0" w:color="auto"/>
      </w:divBdr>
    </w:div>
    <w:div w:id="384109202">
      <w:marLeft w:val="0"/>
      <w:marRight w:val="0"/>
      <w:marTop w:val="0"/>
      <w:marBottom w:val="0"/>
      <w:divBdr>
        <w:top w:val="none" w:sz="0" w:space="0" w:color="auto"/>
        <w:left w:val="none" w:sz="0" w:space="0" w:color="auto"/>
        <w:bottom w:val="none" w:sz="0" w:space="0" w:color="auto"/>
        <w:right w:val="none" w:sz="0" w:space="0" w:color="auto"/>
      </w:divBdr>
    </w:div>
    <w:div w:id="386806846">
      <w:marLeft w:val="0"/>
      <w:marRight w:val="0"/>
      <w:marTop w:val="100"/>
      <w:marBottom w:val="0"/>
      <w:divBdr>
        <w:top w:val="none" w:sz="0" w:space="0" w:color="auto"/>
        <w:left w:val="none" w:sz="0" w:space="0" w:color="auto"/>
        <w:bottom w:val="none" w:sz="0" w:space="0" w:color="auto"/>
        <w:right w:val="none" w:sz="0" w:space="0" w:color="auto"/>
      </w:divBdr>
    </w:div>
    <w:div w:id="386957109">
      <w:marLeft w:val="0"/>
      <w:marRight w:val="0"/>
      <w:marTop w:val="100"/>
      <w:marBottom w:val="0"/>
      <w:divBdr>
        <w:top w:val="none" w:sz="0" w:space="0" w:color="auto"/>
        <w:left w:val="none" w:sz="0" w:space="0" w:color="auto"/>
        <w:bottom w:val="none" w:sz="0" w:space="0" w:color="auto"/>
        <w:right w:val="none" w:sz="0" w:space="0" w:color="auto"/>
      </w:divBdr>
    </w:div>
    <w:div w:id="387412327">
      <w:marLeft w:val="0"/>
      <w:marRight w:val="0"/>
      <w:marTop w:val="100"/>
      <w:marBottom w:val="0"/>
      <w:divBdr>
        <w:top w:val="none" w:sz="0" w:space="0" w:color="auto"/>
        <w:left w:val="none" w:sz="0" w:space="0" w:color="auto"/>
        <w:bottom w:val="none" w:sz="0" w:space="0" w:color="auto"/>
        <w:right w:val="none" w:sz="0" w:space="0" w:color="auto"/>
      </w:divBdr>
    </w:div>
    <w:div w:id="393165235">
      <w:marLeft w:val="0"/>
      <w:marRight w:val="0"/>
      <w:marTop w:val="100"/>
      <w:marBottom w:val="0"/>
      <w:divBdr>
        <w:top w:val="none" w:sz="0" w:space="0" w:color="auto"/>
        <w:left w:val="none" w:sz="0" w:space="0" w:color="auto"/>
        <w:bottom w:val="none" w:sz="0" w:space="0" w:color="auto"/>
        <w:right w:val="none" w:sz="0" w:space="0" w:color="auto"/>
      </w:divBdr>
    </w:div>
    <w:div w:id="398787844">
      <w:marLeft w:val="0"/>
      <w:marRight w:val="0"/>
      <w:marTop w:val="100"/>
      <w:marBottom w:val="0"/>
      <w:divBdr>
        <w:top w:val="none" w:sz="0" w:space="0" w:color="auto"/>
        <w:left w:val="none" w:sz="0" w:space="0" w:color="auto"/>
        <w:bottom w:val="none" w:sz="0" w:space="0" w:color="auto"/>
        <w:right w:val="none" w:sz="0" w:space="0" w:color="auto"/>
      </w:divBdr>
    </w:div>
    <w:div w:id="399793309">
      <w:marLeft w:val="0"/>
      <w:marRight w:val="0"/>
      <w:marTop w:val="180"/>
      <w:marBottom w:val="0"/>
      <w:divBdr>
        <w:top w:val="none" w:sz="0" w:space="0" w:color="auto"/>
        <w:left w:val="none" w:sz="0" w:space="0" w:color="auto"/>
        <w:bottom w:val="none" w:sz="0" w:space="0" w:color="auto"/>
        <w:right w:val="none" w:sz="0" w:space="0" w:color="auto"/>
      </w:divBdr>
    </w:div>
    <w:div w:id="409469325">
      <w:marLeft w:val="0"/>
      <w:marRight w:val="0"/>
      <w:marTop w:val="280"/>
      <w:marBottom w:val="0"/>
      <w:divBdr>
        <w:top w:val="none" w:sz="0" w:space="0" w:color="auto"/>
        <w:left w:val="none" w:sz="0" w:space="0" w:color="auto"/>
        <w:bottom w:val="none" w:sz="0" w:space="0" w:color="auto"/>
        <w:right w:val="none" w:sz="0" w:space="0" w:color="auto"/>
      </w:divBdr>
    </w:div>
    <w:div w:id="420568201">
      <w:marLeft w:val="0"/>
      <w:marRight w:val="0"/>
      <w:marTop w:val="280"/>
      <w:marBottom w:val="0"/>
      <w:divBdr>
        <w:top w:val="none" w:sz="0" w:space="0" w:color="auto"/>
        <w:left w:val="none" w:sz="0" w:space="0" w:color="auto"/>
        <w:bottom w:val="none" w:sz="0" w:space="0" w:color="auto"/>
        <w:right w:val="none" w:sz="0" w:space="0" w:color="auto"/>
      </w:divBdr>
    </w:div>
    <w:div w:id="427777008">
      <w:marLeft w:val="0"/>
      <w:marRight w:val="0"/>
      <w:marTop w:val="100"/>
      <w:marBottom w:val="0"/>
      <w:divBdr>
        <w:top w:val="none" w:sz="0" w:space="0" w:color="auto"/>
        <w:left w:val="none" w:sz="0" w:space="0" w:color="auto"/>
        <w:bottom w:val="none" w:sz="0" w:space="0" w:color="auto"/>
        <w:right w:val="none" w:sz="0" w:space="0" w:color="auto"/>
      </w:divBdr>
    </w:div>
    <w:div w:id="428504604">
      <w:marLeft w:val="0"/>
      <w:marRight w:val="0"/>
      <w:marTop w:val="100"/>
      <w:marBottom w:val="0"/>
      <w:divBdr>
        <w:top w:val="none" w:sz="0" w:space="0" w:color="auto"/>
        <w:left w:val="none" w:sz="0" w:space="0" w:color="auto"/>
        <w:bottom w:val="none" w:sz="0" w:space="0" w:color="auto"/>
        <w:right w:val="none" w:sz="0" w:space="0" w:color="auto"/>
      </w:divBdr>
    </w:div>
    <w:div w:id="430400628">
      <w:marLeft w:val="0"/>
      <w:marRight w:val="0"/>
      <w:marTop w:val="0"/>
      <w:marBottom w:val="0"/>
      <w:divBdr>
        <w:top w:val="none" w:sz="0" w:space="0" w:color="auto"/>
        <w:left w:val="none" w:sz="0" w:space="0" w:color="auto"/>
        <w:bottom w:val="none" w:sz="0" w:space="0" w:color="auto"/>
        <w:right w:val="none" w:sz="0" w:space="0" w:color="auto"/>
      </w:divBdr>
    </w:div>
    <w:div w:id="442499351">
      <w:marLeft w:val="0"/>
      <w:marRight w:val="0"/>
      <w:marTop w:val="0"/>
      <w:marBottom w:val="0"/>
      <w:divBdr>
        <w:top w:val="none" w:sz="0" w:space="0" w:color="auto"/>
        <w:left w:val="none" w:sz="0" w:space="0" w:color="auto"/>
        <w:bottom w:val="none" w:sz="0" w:space="0" w:color="auto"/>
        <w:right w:val="none" w:sz="0" w:space="0" w:color="auto"/>
      </w:divBdr>
    </w:div>
    <w:div w:id="458572352">
      <w:marLeft w:val="0"/>
      <w:marRight w:val="0"/>
      <w:marTop w:val="100"/>
      <w:marBottom w:val="0"/>
      <w:divBdr>
        <w:top w:val="none" w:sz="0" w:space="0" w:color="auto"/>
        <w:left w:val="none" w:sz="0" w:space="0" w:color="auto"/>
        <w:bottom w:val="none" w:sz="0" w:space="0" w:color="auto"/>
        <w:right w:val="none" w:sz="0" w:space="0" w:color="auto"/>
      </w:divBdr>
    </w:div>
    <w:div w:id="458687340">
      <w:marLeft w:val="0"/>
      <w:marRight w:val="0"/>
      <w:marTop w:val="280"/>
      <w:marBottom w:val="0"/>
      <w:divBdr>
        <w:top w:val="none" w:sz="0" w:space="0" w:color="auto"/>
        <w:left w:val="none" w:sz="0" w:space="0" w:color="auto"/>
        <w:bottom w:val="none" w:sz="0" w:space="0" w:color="auto"/>
        <w:right w:val="none" w:sz="0" w:space="0" w:color="auto"/>
      </w:divBdr>
    </w:div>
    <w:div w:id="462040682">
      <w:marLeft w:val="0"/>
      <w:marRight w:val="0"/>
      <w:marTop w:val="100"/>
      <w:marBottom w:val="0"/>
      <w:divBdr>
        <w:top w:val="none" w:sz="0" w:space="0" w:color="auto"/>
        <w:left w:val="none" w:sz="0" w:space="0" w:color="auto"/>
        <w:bottom w:val="none" w:sz="0" w:space="0" w:color="auto"/>
        <w:right w:val="none" w:sz="0" w:space="0" w:color="auto"/>
      </w:divBdr>
    </w:div>
    <w:div w:id="462816288">
      <w:marLeft w:val="0"/>
      <w:marRight w:val="0"/>
      <w:marTop w:val="100"/>
      <w:marBottom w:val="100"/>
      <w:divBdr>
        <w:top w:val="none" w:sz="0" w:space="0" w:color="auto"/>
        <w:left w:val="none" w:sz="0" w:space="0" w:color="auto"/>
        <w:bottom w:val="none" w:sz="0" w:space="0" w:color="auto"/>
        <w:right w:val="none" w:sz="0" w:space="0" w:color="auto"/>
      </w:divBdr>
      <w:divsChild>
        <w:div w:id="928932232">
          <w:marLeft w:val="0"/>
          <w:marRight w:val="0"/>
          <w:marTop w:val="0"/>
          <w:marBottom w:val="0"/>
          <w:divBdr>
            <w:top w:val="none" w:sz="0" w:space="0" w:color="auto"/>
            <w:left w:val="none" w:sz="0" w:space="0" w:color="auto"/>
            <w:bottom w:val="none" w:sz="0" w:space="0" w:color="auto"/>
            <w:right w:val="none" w:sz="0" w:space="0" w:color="auto"/>
          </w:divBdr>
        </w:div>
      </w:divsChild>
    </w:div>
    <w:div w:id="464350709">
      <w:marLeft w:val="0"/>
      <w:marRight w:val="0"/>
      <w:marTop w:val="40"/>
      <w:marBottom w:val="0"/>
      <w:divBdr>
        <w:top w:val="none" w:sz="0" w:space="0" w:color="auto"/>
        <w:left w:val="none" w:sz="0" w:space="0" w:color="auto"/>
        <w:bottom w:val="none" w:sz="0" w:space="0" w:color="auto"/>
        <w:right w:val="none" w:sz="0" w:space="0" w:color="auto"/>
      </w:divBdr>
    </w:div>
    <w:div w:id="465586248">
      <w:marLeft w:val="0"/>
      <w:marRight w:val="0"/>
      <w:marTop w:val="100"/>
      <w:marBottom w:val="0"/>
      <w:divBdr>
        <w:top w:val="none" w:sz="0" w:space="0" w:color="auto"/>
        <w:left w:val="none" w:sz="0" w:space="0" w:color="auto"/>
        <w:bottom w:val="none" w:sz="0" w:space="0" w:color="auto"/>
        <w:right w:val="none" w:sz="0" w:space="0" w:color="auto"/>
      </w:divBdr>
    </w:div>
    <w:div w:id="471605886">
      <w:marLeft w:val="0"/>
      <w:marRight w:val="0"/>
      <w:marTop w:val="100"/>
      <w:marBottom w:val="0"/>
      <w:divBdr>
        <w:top w:val="none" w:sz="0" w:space="0" w:color="auto"/>
        <w:left w:val="none" w:sz="0" w:space="0" w:color="auto"/>
        <w:bottom w:val="none" w:sz="0" w:space="0" w:color="auto"/>
        <w:right w:val="none" w:sz="0" w:space="0" w:color="auto"/>
      </w:divBdr>
    </w:div>
    <w:div w:id="474031766">
      <w:marLeft w:val="0"/>
      <w:marRight w:val="0"/>
      <w:marTop w:val="280"/>
      <w:marBottom w:val="0"/>
      <w:divBdr>
        <w:top w:val="none" w:sz="0" w:space="0" w:color="auto"/>
        <w:left w:val="none" w:sz="0" w:space="0" w:color="auto"/>
        <w:bottom w:val="none" w:sz="0" w:space="0" w:color="auto"/>
        <w:right w:val="none" w:sz="0" w:space="0" w:color="auto"/>
      </w:divBdr>
    </w:div>
    <w:div w:id="474222354">
      <w:marLeft w:val="0"/>
      <w:marRight w:val="0"/>
      <w:marTop w:val="100"/>
      <w:marBottom w:val="0"/>
      <w:divBdr>
        <w:top w:val="none" w:sz="0" w:space="0" w:color="auto"/>
        <w:left w:val="none" w:sz="0" w:space="0" w:color="auto"/>
        <w:bottom w:val="none" w:sz="0" w:space="0" w:color="auto"/>
        <w:right w:val="none" w:sz="0" w:space="0" w:color="auto"/>
      </w:divBdr>
    </w:div>
    <w:div w:id="477496151">
      <w:marLeft w:val="0"/>
      <w:marRight w:val="0"/>
      <w:marTop w:val="280"/>
      <w:marBottom w:val="0"/>
      <w:divBdr>
        <w:top w:val="none" w:sz="0" w:space="0" w:color="auto"/>
        <w:left w:val="none" w:sz="0" w:space="0" w:color="auto"/>
        <w:bottom w:val="none" w:sz="0" w:space="0" w:color="auto"/>
        <w:right w:val="none" w:sz="0" w:space="0" w:color="auto"/>
      </w:divBdr>
    </w:div>
    <w:div w:id="479345025">
      <w:marLeft w:val="0"/>
      <w:marRight w:val="0"/>
      <w:marTop w:val="160"/>
      <w:marBottom w:val="100"/>
      <w:divBdr>
        <w:top w:val="none" w:sz="0" w:space="0" w:color="auto"/>
        <w:left w:val="none" w:sz="0" w:space="0" w:color="auto"/>
        <w:bottom w:val="none" w:sz="0" w:space="0" w:color="auto"/>
        <w:right w:val="none" w:sz="0" w:space="0" w:color="auto"/>
      </w:divBdr>
    </w:div>
    <w:div w:id="484862180">
      <w:marLeft w:val="0"/>
      <w:marRight w:val="0"/>
      <w:marTop w:val="100"/>
      <w:marBottom w:val="0"/>
      <w:divBdr>
        <w:top w:val="none" w:sz="0" w:space="0" w:color="auto"/>
        <w:left w:val="none" w:sz="0" w:space="0" w:color="auto"/>
        <w:bottom w:val="none" w:sz="0" w:space="0" w:color="auto"/>
        <w:right w:val="none" w:sz="0" w:space="0" w:color="auto"/>
      </w:divBdr>
    </w:div>
    <w:div w:id="485391652">
      <w:marLeft w:val="0"/>
      <w:marRight w:val="0"/>
      <w:marTop w:val="100"/>
      <w:marBottom w:val="0"/>
      <w:divBdr>
        <w:top w:val="none" w:sz="0" w:space="0" w:color="auto"/>
        <w:left w:val="none" w:sz="0" w:space="0" w:color="auto"/>
        <w:bottom w:val="none" w:sz="0" w:space="0" w:color="auto"/>
        <w:right w:val="none" w:sz="0" w:space="0" w:color="auto"/>
      </w:divBdr>
    </w:div>
    <w:div w:id="489492730">
      <w:marLeft w:val="0"/>
      <w:marRight w:val="0"/>
      <w:marTop w:val="100"/>
      <w:marBottom w:val="0"/>
      <w:divBdr>
        <w:top w:val="none" w:sz="0" w:space="0" w:color="auto"/>
        <w:left w:val="none" w:sz="0" w:space="0" w:color="auto"/>
        <w:bottom w:val="none" w:sz="0" w:space="0" w:color="auto"/>
        <w:right w:val="none" w:sz="0" w:space="0" w:color="auto"/>
      </w:divBdr>
    </w:div>
    <w:div w:id="490558461">
      <w:marLeft w:val="0"/>
      <w:marRight w:val="0"/>
      <w:marTop w:val="180"/>
      <w:marBottom w:val="0"/>
      <w:divBdr>
        <w:top w:val="none" w:sz="0" w:space="0" w:color="auto"/>
        <w:left w:val="none" w:sz="0" w:space="0" w:color="auto"/>
        <w:bottom w:val="none" w:sz="0" w:space="0" w:color="auto"/>
        <w:right w:val="none" w:sz="0" w:space="0" w:color="auto"/>
      </w:divBdr>
    </w:div>
    <w:div w:id="502357167">
      <w:marLeft w:val="0"/>
      <w:marRight w:val="0"/>
      <w:marTop w:val="100"/>
      <w:marBottom w:val="0"/>
      <w:divBdr>
        <w:top w:val="none" w:sz="0" w:space="0" w:color="auto"/>
        <w:left w:val="none" w:sz="0" w:space="0" w:color="auto"/>
        <w:bottom w:val="none" w:sz="0" w:space="0" w:color="auto"/>
        <w:right w:val="none" w:sz="0" w:space="0" w:color="auto"/>
      </w:divBdr>
    </w:div>
    <w:div w:id="503668245">
      <w:marLeft w:val="0"/>
      <w:marRight w:val="0"/>
      <w:marTop w:val="280"/>
      <w:marBottom w:val="0"/>
      <w:divBdr>
        <w:top w:val="none" w:sz="0" w:space="0" w:color="auto"/>
        <w:left w:val="none" w:sz="0" w:space="0" w:color="auto"/>
        <w:bottom w:val="none" w:sz="0" w:space="0" w:color="auto"/>
        <w:right w:val="none" w:sz="0" w:space="0" w:color="auto"/>
      </w:divBdr>
    </w:div>
    <w:div w:id="505480079">
      <w:marLeft w:val="0"/>
      <w:marRight w:val="0"/>
      <w:marTop w:val="100"/>
      <w:marBottom w:val="0"/>
      <w:divBdr>
        <w:top w:val="none" w:sz="0" w:space="0" w:color="auto"/>
        <w:left w:val="none" w:sz="0" w:space="0" w:color="auto"/>
        <w:bottom w:val="none" w:sz="0" w:space="0" w:color="auto"/>
        <w:right w:val="none" w:sz="0" w:space="0" w:color="auto"/>
      </w:divBdr>
    </w:div>
    <w:div w:id="506679634">
      <w:marLeft w:val="0"/>
      <w:marRight w:val="0"/>
      <w:marTop w:val="100"/>
      <w:marBottom w:val="100"/>
      <w:divBdr>
        <w:top w:val="none" w:sz="0" w:space="0" w:color="auto"/>
        <w:left w:val="none" w:sz="0" w:space="0" w:color="auto"/>
        <w:bottom w:val="none" w:sz="0" w:space="0" w:color="auto"/>
        <w:right w:val="none" w:sz="0" w:space="0" w:color="auto"/>
      </w:divBdr>
      <w:divsChild>
        <w:div w:id="39479987">
          <w:marLeft w:val="0"/>
          <w:marRight w:val="0"/>
          <w:marTop w:val="0"/>
          <w:marBottom w:val="0"/>
          <w:divBdr>
            <w:top w:val="none" w:sz="0" w:space="0" w:color="auto"/>
            <w:left w:val="none" w:sz="0" w:space="0" w:color="auto"/>
            <w:bottom w:val="none" w:sz="0" w:space="0" w:color="auto"/>
            <w:right w:val="none" w:sz="0" w:space="0" w:color="auto"/>
          </w:divBdr>
        </w:div>
        <w:div w:id="153229350">
          <w:marLeft w:val="0"/>
          <w:marRight w:val="0"/>
          <w:marTop w:val="0"/>
          <w:marBottom w:val="0"/>
          <w:divBdr>
            <w:top w:val="none" w:sz="0" w:space="0" w:color="auto"/>
            <w:left w:val="none" w:sz="0" w:space="0" w:color="auto"/>
            <w:bottom w:val="none" w:sz="0" w:space="0" w:color="auto"/>
            <w:right w:val="none" w:sz="0" w:space="0" w:color="auto"/>
          </w:divBdr>
        </w:div>
        <w:div w:id="1820607041">
          <w:marLeft w:val="0"/>
          <w:marRight w:val="0"/>
          <w:marTop w:val="0"/>
          <w:marBottom w:val="0"/>
          <w:divBdr>
            <w:top w:val="none" w:sz="0" w:space="0" w:color="auto"/>
            <w:left w:val="none" w:sz="0" w:space="0" w:color="auto"/>
            <w:bottom w:val="none" w:sz="0" w:space="0" w:color="auto"/>
            <w:right w:val="none" w:sz="0" w:space="0" w:color="auto"/>
          </w:divBdr>
        </w:div>
        <w:div w:id="1517960174">
          <w:marLeft w:val="0"/>
          <w:marRight w:val="0"/>
          <w:marTop w:val="0"/>
          <w:marBottom w:val="0"/>
          <w:divBdr>
            <w:top w:val="none" w:sz="0" w:space="0" w:color="auto"/>
            <w:left w:val="none" w:sz="0" w:space="0" w:color="auto"/>
            <w:bottom w:val="none" w:sz="0" w:space="0" w:color="auto"/>
            <w:right w:val="none" w:sz="0" w:space="0" w:color="auto"/>
          </w:divBdr>
        </w:div>
        <w:div w:id="808521291">
          <w:marLeft w:val="0"/>
          <w:marRight w:val="0"/>
          <w:marTop w:val="0"/>
          <w:marBottom w:val="0"/>
          <w:divBdr>
            <w:top w:val="none" w:sz="0" w:space="0" w:color="auto"/>
            <w:left w:val="none" w:sz="0" w:space="0" w:color="auto"/>
            <w:bottom w:val="none" w:sz="0" w:space="0" w:color="auto"/>
            <w:right w:val="none" w:sz="0" w:space="0" w:color="auto"/>
          </w:divBdr>
        </w:div>
        <w:div w:id="1438063205">
          <w:marLeft w:val="0"/>
          <w:marRight w:val="0"/>
          <w:marTop w:val="0"/>
          <w:marBottom w:val="0"/>
          <w:divBdr>
            <w:top w:val="none" w:sz="0" w:space="0" w:color="auto"/>
            <w:left w:val="none" w:sz="0" w:space="0" w:color="auto"/>
            <w:bottom w:val="none" w:sz="0" w:space="0" w:color="auto"/>
            <w:right w:val="none" w:sz="0" w:space="0" w:color="auto"/>
          </w:divBdr>
        </w:div>
        <w:div w:id="516508920">
          <w:marLeft w:val="0"/>
          <w:marRight w:val="0"/>
          <w:marTop w:val="0"/>
          <w:marBottom w:val="0"/>
          <w:divBdr>
            <w:top w:val="none" w:sz="0" w:space="0" w:color="auto"/>
            <w:left w:val="none" w:sz="0" w:space="0" w:color="auto"/>
            <w:bottom w:val="none" w:sz="0" w:space="0" w:color="auto"/>
            <w:right w:val="none" w:sz="0" w:space="0" w:color="auto"/>
          </w:divBdr>
        </w:div>
        <w:div w:id="1879777313">
          <w:marLeft w:val="0"/>
          <w:marRight w:val="0"/>
          <w:marTop w:val="0"/>
          <w:marBottom w:val="0"/>
          <w:divBdr>
            <w:top w:val="none" w:sz="0" w:space="0" w:color="auto"/>
            <w:left w:val="none" w:sz="0" w:space="0" w:color="auto"/>
            <w:bottom w:val="none" w:sz="0" w:space="0" w:color="auto"/>
            <w:right w:val="none" w:sz="0" w:space="0" w:color="auto"/>
          </w:divBdr>
        </w:div>
        <w:div w:id="465048515">
          <w:marLeft w:val="0"/>
          <w:marRight w:val="0"/>
          <w:marTop w:val="0"/>
          <w:marBottom w:val="0"/>
          <w:divBdr>
            <w:top w:val="none" w:sz="0" w:space="0" w:color="auto"/>
            <w:left w:val="none" w:sz="0" w:space="0" w:color="auto"/>
            <w:bottom w:val="none" w:sz="0" w:space="0" w:color="auto"/>
            <w:right w:val="none" w:sz="0" w:space="0" w:color="auto"/>
          </w:divBdr>
        </w:div>
      </w:divsChild>
    </w:div>
    <w:div w:id="514685457">
      <w:marLeft w:val="0"/>
      <w:marRight w:val="0"/>
      <w:marTop w:val="100"/>
      <w:marBottom w:val="0"/>
      <w:divBdr>
        <w:top w:val="none" w:sz="0" w:space="0" w:color="auto"/>
        <w:left w:val="none" w:sz="0" w:space="0" w:color="auto"/>
        <w:bottom w:val="none" w:sz="0" w:space="0" w:color="auto"/>
        <w:right w:val="none" w:sz="0" w:space="0" w:color="auto"/>
      </w:divBdr>
    </w:div>
    <w:div w:id="516892462">
      <w:marLeft w:val="0"/>
      <w:marRight w:val="0"/>
      <w:marTop w:val="280"/>
      <w:marBottom w:val="0"/>
      <w:divBdr>
        <w:top w:val="none" w:sz="0" w:space="0" w:color="auto"/>
        <w:left w:val="none" w:sz="0" w:space="0" w:color="auto"/>
        <w:bottom w:val="none" w:sz="0" w:space="0" w:color="auto"/>
        <w:right w:val="none" w:sz="0" w:space="0" w:color="auto"/>
      </w:divBdr>
    </w:div>
    <w:div w:id="520779782">
      <w:marLeft w:val="0"/>
      <w:marRight w:val="0"/>
      <w:marTop w:val="0"/>
      <w:marBottom w:val="0"/>
      <w:divBdr>
        <w:top w:val="none" w:sz="0" w:space="0" w:color="auto"/>
        <w:left w:val="none" w:sz="0" w:space="0" w:color="auto"/>
        <w:bottom w:val="none" w:sz="0" w:space="0" w:color="auto"/>
        <w:right w:val="none" w:sz="0" w:space="0" w:color="auto"/>
      </w:divBdr>
    </w:div>
    <w:div w:id="521672745">
      <w:marLeft w:val="0"/>
      <w:marRight w:val="0"/>
      <w:marTop w:val="100"/>
      <w:marBottom w:val="0"/>
      <w:divBdr>
        <w:top w:val="none" w:sz="0" w:space="0" w:color="auto"/>
        <w:left w:val="none" w:sz="0" w:space="0" w:color="auto"/>
        <w:bottom w:val="none" w:sz="0" w:space="0" w:color="auto"/>
        <w:right w:val="none" w:sz="0" w:space="0" w:color="auto"/>
      </w:divBdr>
    </w:div>
    <w:div w:id="527836292">
      <w:marLeft w:val="0"/>
      <w:marRight w:val="0"/>
      <w:marTop w:val="100"/>
      <w:marBottom w:val="0"/>
      <w:divBdr>
        <w:top w:val="none" w:sz="0" w:space="0" w:color="auto"/>
        <w:left w:val="none" w:sz="0" w:space="0" w:color="auto"/>
        <w:bottom w:val="none" w:sz="0" w:space="0" w:color="auto"/>
        <w:right w:val="none" w:sz="0" w:space="0" w:color="auto"/>
      </w:divBdr>
    </w:div>
    <w:div w:id="534002024">
      <w:marLeft w:val="0"/>
      <w:marRight w:val="0"/>
      <w:marTop w:val="120"/>
      <w:marBottom w:val="0"/>
      <w:divBdr>
        <w:top w:val="none" w:sz="0" w:space="0" w:color="auto"/>
        <w:left w:val="none" w:sz="0" w:space="0" w:color="auto"/>
        <w:bottom w:val="none" w:sz="0" w:space="0" w:color="auto"/>
        <w:right w:val="none" w:sz="0" w:space="0" w:color="auto"/>
      </w:divBdr>
    </w:div>
    <w:div w:id="535237211">
      <w:marLeft w:val="0"/>
      <w:marRight w:val="0"/>
      <w:marTop w:val="0"/>
      <w:marBottom w:val="0"/>
      <w:divBdr>
        <w:top w:val="none" w:sz="0" w:space="0" w:color="auto"/>
        <w:left w:val="none" w:sz="0" w:space="0" w:color="auto"/>
        <w:bottom w:val="none" w:sz="0" w:space="0" w:color="auto"/>
        <w:right w:val="none" w:sz="0" w:space="0" w:color="auto"/>
      </w:divBdr>
      <w:divsChild>
        <w:div w:id="133916947">
          <w:marLeft w:val="0"/>
          <w:marRight w:val="0"/>
          <w:marTop w:val="0"/>
          <w:marBottom w:val="0"/>
          <w:divBdr>
            <w:top w:val="none" w:sz="0" w:space="0" w:color="auto"/>
            <w:left w:val="none" w:sz="0" w:space="0" w:color="auto"/>
            <w:bottom w:val="none" w:sz="0" w:space="0" w:color="auto"/>
            <w:right w:val="none" w:sz="0" w:space="0" w:color="auto"/>
          </w:divBdr>
        </w:div>
      </w:divsChild>
    </w:div>
    <w:div w:id="540434931">
      <w:marLeft w:val="0"/>
      <w:marRight w:val="0"/>
      <w:marTop w:val="120"/>
      <w:marBottom w:val="0"/>
      <w:divBdr>
        <w:top w:val="none" w:sz="0" w:space="0" w:color="auto"/>
        <w:left w:val="none" w:sz="0" w:space="0" w:color="auto"/>
        <w:bottom w:val="none" w:sz="0" w:space="0" w:color="auto"/>
        <w:right w:val="none" w:sz="0" w:space="0" w:color="auto"/>
      </w:divBdr>
    </w:div>
    <w:div w:id="541133917">
      <w:marLeft w:val="0"/>
      <w:marRight w:val="0"/>
      <w:marTop w:val="100"/>
      <w:marBottom w:val="0"/>
      <w:divBdr>
        <w:top w:val="none" w:sz="0" w:space="0" w:color="auto"/>
        <w:left w:val="none" w:sz="0" w:space="0" w:color="auto"/>
        <w:bottom w:val="none" w:sz="0" w:space="0" w:color="auto"/>
        <w:right w:val="none" w:sz="0" w:space="0" w:color="auto"/>
      </w:divBdr>
    </w:div>
    <w:div w:id="542867122">
      <w:marLeft w:val="0"/>
      <w:marRight w:val="0"/>
      <w:marTop w:val="0"/>
      <w:marBottom w:val="0"/>
      <w:divBdr>
        <w:top w:val="none" w:sz="0" w:space="0" w:color="auto"/>
        <w:left w:val="none" w:sz="0" w:space="0" w:color="auto"/>
        <w:bottom w:val="none" w:sz="0" w:space="0" w:color="auto"/>
        <w:right w:val="none" w:sz="0" w:space="0" w:color="auto"/>
      </w:divBdr>
    </w:div>
    <w:div w:id="547647934">
      <w:marLeft w:val="0"/>
      <w:marRight w:val="0"/>
      <w:marTop w:val="280"/>
      <w:marBottom w:val="0"/>
      <w:divBdr>
        <w:top w:val="none" w:sz="0" w:space="0" w:color="auto"/>
        <w:left w:val="none" w:sz="0" w:space="0" w:color="auto"/>
        <w:bottom w:val="none" w:sz="0" w:space="0" w:color="auto"/>
        <w:right w:val="none" w:sz="0" w:space="0" w:color="auto"/>
      </w:divBdr>
    </w:div>
    <w:div w:id="553352158">
      <w:marLeft w:val="0"/>
      <w:marRight w:val="0"/>
      <w:marTop w:val="100"/>
      <w:marBottom w:val="0"/>
      <w:divBdr>
        <w:top w:val="none" w:sz="0" w:space="0" w:color="auto"/>
        <w:left w:val="none" w:sz="0" w:space="0" w:color="auto"/>
        <w:bottom w:val="none" w:sz="0" w:space="0" w:color="auto"/>
        <w:right w:val="none" w:sz="0" w:space="0" w:color="auto"/>
      </w:divBdr>
    </w:div>
    <w:div w:id="554052561">
      <w:marLeft w:val="0"/>
      <w:marRight w:val="0"/>
      <w:marTop w:val="100"/>
      <w:marBottom w:val="0"/>
      <w:divBdr>
        <w:top w:val="none" w:sz="0" w:space="0" w:color="auto"/>
        <w:left w:val="none" w:sz="0" w:space="0" w:color="auto"/>
        <w:bottom w:val="none" w:sz="0" w:space="0" w:color="auto"/>
        <w:right w:val="none" w:sz="0" w:space="0" w:color="auto"/>
      </w:divBdr>
    </w:div>
    <w:div w:id="556359139">
      <w:marLeft w:val="0"/>
      <w:marRight w:val="0"/>
      <w:marTop w:val="40"/>
      <w:marBottom w:val="0"/>
      <w:divBdr>
        <w:top w:val="none" w:sz="0" w:space="0" w:color="auto"/>
        <w:left w:val="none" w:sz="0" w:space="0" w:color="auto"/>
        <w:bottom w:val="none" w:sz="0" w:space="0" w:color="auto"/>
        <w:right w:val="none" w:sz="0" w:space="0" w:color="auto"/>
      </w:divBdr>
    </w:div>
    <w:div w:id="557981146">
      <w:marLeft w:val="0"/>
      <w:marRight w:val="0"/>
      <w:marTop w:val="100"/>
      <w:marBottom w:val="0"/>
      <w:divBdr>
        <w:top w:val="none" w:sz="0" w:space="0" w:color="auto"/>
        <w:left w:val="none" w:sz="0" w:space="0" w:color="auto"/>
        <w:bottom w:val="none" w:sz="0" w:space="0" w:color="auto"/>
        <w:right w:val="none" w:sz="0" w:space="0" w:color="auto"/>
      </w:divBdr>
    </w:div>
    <w:div w:id="562329487">
      <w:marLeft w:val="0"/>
      <w:marRight w:val="0"/>
      <w:marTop w:val="120"/>
      <w:marBottom w:val="0"/>
      <w:divBdr>
        <w:top w:val="none" w:sz="0" w:space="0" w:color="auto"/>
        <w:left w:val="none" w:sz="0" w:space="0" w:color="auto"/>
        <w:bottom w:val="none" w:sz="0" w:space="0" w:color="auto"/>
        <w:right w:val="none" w:sz="0" w:space="0" w:color="auto"/>
      </w:divBdr>
    </w:div>
    <w:div w:id="565258539">
      <w:marLeft w:val="0"/>
      <w:marRight w:val="0"/>
      <w:marTop w:val="100"/>
      <w:marBottom w:val="0"/>
      <w:divBdr>
        <w:top w:val="none" w:sz="0" w:space="0" w:color="auto"/>
        <w:left w:val="none" w:sz="0" w:space="0" w:color="auto"/>
        <w:bottom w:val="none" w:sz="0" w:space="0" w:color="auto"/>
        <w:right w:val="none" w:sz="0" w:space="0" w:color="auto"/>
      </w:divBdr>
    </w:div>
    <w:div w:id="566960110">
      <w:marLeft w:val="0"/>
      <w:marRight w:val="0"/>
      <w:marTop w:val="100"/>
      <w:marBottom w:val="0"/>
      <w:divBdr>
        <w:top w:val="none" w:sz="0" w:space="0" w:color="auto"/>
        <w:left w:val="none" w:sz="0" w:space="0" w:color="auto"/>
        <w:bottom w:val="none" w:sz="0" w:space="0" w:color="auto"/>
        <w:right w:val="none" w:sz="0" w:space="0" w:color="auto"/>
      </w:divBdr>
    </w:div>
    <w:div w:id="572006966">
      <w:marLeft w:val="0"/>
      <w:marRight w:val="0"/>
      <w:marTop w:val="280"/>
      <w:marBottom w:val="0"/>
      <w:divBdr>
        <w:top w:val="none" w:sz="0" w:space="0" w:color="auto"/>
        <w:left w:val="none" w:sz="0" w:space="0" w:color="auto"/>
        <w:bottom w:val="none" w:sz="0" w:space="0" w:color="auto"/>
        <w:right w:val="none" w:sz="0" w:space="0" w:color="auto"/>
      </w:divBdr>
    </w:div>
    <w:div w:id="574166790">
      <w:marLeft w:val="0"/>
      <w:marRight w:val="0"/>
      <w:marTop w:val="100"/>
      <w:marBottom w:val="0"/>
      <w:divBdr>
        <w:top w:val="none" w:sz="0" w:space="0" w:color="auto"/>
        <w:left w:val="none" w:sz="0" w:space="0" w:color="auto"/>
        <w:bottom w:val="none" w:sz="0" w:space="0" w:color="auto"/>
        <w:right w:val="none" w:sz="0" w:space="0" w:color="auto"/>
      </w:divBdr>
    </w:div>
    <w:div w:id="575021195">
      <w:marLeft w:val="0"/>
      <w:marRight w:val="0"/>
      <w:marTop w:val="280"/>
      <w:marBottom w:val="0"/>
      <w:divBdr>
        <w:top w:val="none" w:sz="0" w:space="0" w:color="auto"/>
        <w:left w:val="none" w:sz="0" w:space="0" w:color="auto"/>
        <w:bottom w:val="none" w:sz="0" w:space="0" w:color="auto"/>
        <w:right w:val="none" w:sz="0" w:space="0" w:color="auto"/>
      </w:divBdr>
    </w:div>
    <w:div w:id="576595143">
      <w:marLeft w:val="0"/>
      <w:marRight w:val="0"/>
      <w:marTop w:val="100"/>
      <w:marBottom w:val="0"/>
      <w:divBdr>
        <w:top w:val="none" w:sz="0" w:space="0" w:color="auto"/>
        <w:left w:val="none" w:sz="0" w:space="0" w:color="auto"/>
        <w:bottom w:val="none" w:sz="0" w:space="0" w:color="auto"/>
        <w:right w:val="none" w:sz="0" w:space="0" w:color="auto"/>
      </w:divBdr>
    </w:div>
    <w:div w:id="581643853">
      <w:marLeft w:val="0"/>
      <w:marRight w:val="0"/>
      <w:marTop w:val="180"/>
      <w:marBottom w:val="0"/>
      <w:divBdr>
        <w:top w:val="none" w:sz="0" w:space="0" w:color="auto"/>
        <w:left w:val="none" w:sz="0" w:space="0" w:color="auto"/>
        <w:bottom w:val="none" w:sz="0" w:space="0" w:color="auto"/>
        <w:right w:val="none" w:sz="0" w:space="0" w:color="auto"/>
      </w:divBdr>
    </w:div>
    <w:div w:id="581908894">
      <w:marLeft w:val="0"/>
      <w:marRight w:val="0"/>
      <w:marTop w:val="0"/>
      <w:marBottom w:val="0"/>
      <w:divBdr>
        <w:top w:val="none" w:sz="0" w:space="0" w:color="auto"/>
        <w:left w:val="none" w:sz="0" w:space="0" w:color="auto"/>
        <w:bottom w:val="none" w:sz="0" w:space="0" w:color="auto"/>
        <w:right w:val="none" w:sz="0" w:space="0" w:color="auto"/>
      </w:divBdr>
    </w:div>
    <w:div w:id="590086157">
      <w:marLeft w:val="0"/>
      <w:marRight w:val="0"/>
      <w:marTop w:val="100"/>
      <w:marBottom w:val="0"/>
      <w:divBdr>
        <w:top w:val="none" w:sz="0" w:space="0" w:color="auto"/>
        <w:left w:val="none" w:sz="0" w:space="0" w:color="auto"/>
        <w:bottom w:val="none" w:sz="0" w:space="0" w:color="auto"/>
        <w:right w:val="none" w:sz="0" w:space="0" w:color="auto"/>
      </w:divBdr>
    </w:div>
    <w:div w:id="595790556">
      <w:marLeft w:val="0"/>
      <w:marRight w:val="0"/>
      <w:marTop w:val="160"/>
      <w:marBottom w:val="100"/>
      <w:divBdr>
        <w:top w:val="none" w:sz="0" w:space="0" w:color="auto"/>
        <w:left w:val="none" w:sz="0" w:space="0" w:color="auto"/>
        <w:bottom w:val="none" w:sz="0" w:space="0" w:color="auto"/>
        <w:right w:val="none" w:sz="0" w:space="0" w:color="auto"/>
      </w:divBdr>
    </w:div>
    <w:div w:id="597368280">
      <w:marLeft w:val="0"/>
      <w:marRight w:val="0"/>
      <w:marTop w:val="100"/>
      <w:marBottom w:val="0"/>
      <w:divBdr>
        <w:top w:val="none" w:sz="0" w:space="0" w:color="auto"/>
        <w:left w:val="none" w:sz="0" w:space="0" w:color="auto"/>
        <w:bottom w:val="none" w:sz="0" w:space="0" w:color="auto"/>
        <w:right w:val="none" w:sz="0" w:space="0" w:color="auto"/>
      </w:divBdr>
    </w:div>
    <w:div w:id="599995948">
      <w:marLeft w:val="0"/>
      <w:marRight w:val="0"/>
      <w:marTop w:val="160"/>
      <w:marBottom w:val="100"/>
      <w:divBdr>
        <w:top w:val="none" w:sz="0" w:space="0" w:color="auto"/>
        <w:left w:val="none" w:sz="0" w:space="0" w:color="auto"/>
        <w:bottom w:val="none" w:sz="0" w:space="0" w:color="auto"/>
        <w:right w:val="none" w:sz="0" w:space="0" w:color="auto"/>
      </w:divBdr>
    </w:div>
    <w:div w:id="606080941">
      <w:marLeft w:val="0"/>
      <w:marRight w:val="0"/>
      <w:marTop w:val="100"/>
      <w:marBottom w:val="100"/>
      <w:divBdr>
        <w:top w:val="none" w:sz="0" w:space="0" w:color="auto"/>
        <w:left w:val="none" w:sz="0" w:space="0" w:color="auto"/>
        <w:bottom w:val="none" w:sz="0" w:space="0" w:color="auto"/>
        <w:right w:val="none" w:sz="0" w:space="0" w:color="auto"/>
      </w:divBdr>
    </w:div>
    <w:div w:id="609121595">
      <w:marLeft w:val="0"/>
      <w:marRight w:val="0"/>
      <w:marTop w:val="100"/>
      <w:marBottom w:val="0"/>
      <w:divBdr>
        <w:top w:val="none" w:sz="0" w:space="0" w:color="auto"/>
        <w:left w:val="none" w:sz="0" w:space="0" w:color="auto"/>
        <w:bottom w:val="none" w:sz="0" w:space="0" w:color="auto"/>
        <w:right w:val="none" w:sz="0" w:space="0" w:color="auto"/>
      </w:divBdr>
    </w:div>
    <w:div w:id="614945221">
      <w:marLeft w:val="0"/>
      <w:marRight w:val="0"/>
      <w:marTop w:val="100"/>
      <w:marBottom w:val="0"/>
      <w:divBdr>
        <w:top w:val="none" w:sz="0" w:space="0" w:color="auto"/>
        <w:left w:val="none" w:sz="0" w:space="0" w:color="auto"/>
        <w:bottom w:val="none" w:sz="0" w:space="0" w:color="auto"/>
        <w:right w:val="none" w:sz="0" w:space="0" w:color="auto"/>
      </w:divBdr>
    </w:div>
    <w:div w:id="618757240">
      <w:marLeft w:val="0"/>
      <w:marRight w:val="0"/>
      <w:marTop w:val="100"/>
      <w:marBottom w:val="0"/>
      <w:divBdr>
        <w:top w:val="none" w:sz="0" w:space="0" w:color="auto"/>
        <w:left w:val="none" w:sz="0" w:space="0" w:color="auto"/>
        <w:bottom w:val="none" w:sz="0" w:space="0" w:color="auto"/>
        <w:right w:val="none" w:sz="0" w:space="0" w:color="auto"/>
      </w:divBdr>
    </w:div>
    <w:div w:id="627055757">
      <w:marLeft w:val="0"/>
      <w:marRight w:val="0"/>
      <w:marTop w:val="0"/>
      <w:marBottom w:val="0"/>
      <w:divBdr>
        <w:top w:val="none" w:sz="0" w:space="0" w:color="auto"/>
        <w:left w:val="none" w:sz="0" w:space="0" w:color="auto"/>
        <w:bottom w:val="none" w:sz="0" w:space="0" w:color="auto"/>
        <w:right w:val="none" w:sz="0" w:space="0" w:color="auto"/>
      </w:divBdr>
      <w:divsChild>
        <w:div w:id="556942442">
          <w:marLeft w:val="0"/>
          <w:marRight w:val="0"/>
          <w:marTop w:val="0"/>
          <w:marBottom w:val="0"/>
          <w:divBdr>
            <w:top w:val="none" w:sz="0" w:space="0" w:color="auto"/>
            <w:left w:val="none" w:sz="0" w:space="0" w:color="auto"/>
            <w:bottom w:val="none" w:sz="0" w:space="0" w:color="auto"/>
            <w:right w:val="none" w:sz="0" w:space="0" w:color="auto"/>
          </w:divBdr>
        </w:div>
      </w:divsChild>
    </w:div>
    <w:div w:id="628434602">
      <w:marLeft w:val="0"/>
      <w:marRight w:val="0"/>
      <w:marTop w:val="60"/>
      <w:marBottom w:val="0"/>
      <w:divBdr>
        <w:top w:val="none" w:sz="0" w:space="0" w:color="auto"/>
        <w:left w:val="none" w:sz="0" w:space="0" w:color="auto"/>
        <w:bottom w:val="none" w:sz="0" w:space="0" w:color="auto"/>
        <w:right w:val="none" w:sz="0" w:space="0" w:color="auto"/>
      </w:divBdr>
    </w:div>
    <w:div w:id="635992128">
      <w:marLeft w:val="0"/>
      <w:marRight w:val="0"/>
      <w:marTop w:val="280"/>
      <w:marBottom w:val="0"/>
      <w:divBdr>
        <w:top w:val="none" w:sz="0" w:space="0" w:color="auto"/>
        <w:left w:val="none" w:sz="0" w:space="0" w:color="auto"/>
        <w:bottom w:val="none" w:sz="0" w:space="0" w:color="auto"/>
        <w:right w:val="none" w:sz="0" w:space="0" w:color="auto"/>
      </w:divBdr>
    </w:div>
    <w:div w:id="639263261">
      <w:marLeft w:val="0"/>
      <w:marRight w:val="0"/>
      <w:marTop w:val="100"/>
      <w:marBottom w:val="0"/>
      <w:divBdr>
        <w:top w:val="none" w:sz="0" w:space="0" w:color="auto"/>
        <w:left w:val="none" w:sz="0" w:space="0" w:color="auto"/>
        <w:bottom w:val="none" w:sz="0" w:space="0" w:color="auto"/>
        <w:right w:val="none" w:sz="0" w:space="0" w:color="auto"/>
      </w:divBdr>
    </w:div>
    <w:div w:id="643893799">
      <w:marLeft w:val="0"/>
      <w:marRight w:val="0"/>
      <w:marTop w:val="100"/>
      <w:marBottom w:val="0"/>
      <w:divBdr>
        <w:top w:val="none" w:sz="0" w:space="0" w:color="auto"/>
        <w:left w:val="none" w:sz="0" w:space="0" w:color="auto"/>
        <w:bottom w:val="none" w:sz="0" w:space="0" w:color="auto"/>
        <w:right w:val="none" w:sz="0" w:space="0" w:color="auto"/>
      </w:divBdr>
    </w:div>
    <w:div w:id="651913020">
      <w:marLeft w:val="0"/>
      <w:marRight w:val="0"/>
      <w:marTop w:val="60"/>
      <w:marBottom w:val="0"/>
      <w:divBdr>
        <w:top w:val="none" w:sz="0" w:space="0" w:color="auto"/>
        <w:left w:val="none" w:sz="0" w:space="0" w:color="auto"/>
        <w:bottom w:val="none" w:sz="0" w:space="0" w:color="auto"/>
        <w:right w:val="none" w:sz="0" w:space="0" w:color="auto"/>
      </w:divBdr>
    </w:div>
    <w:div w:id="654072039">
      <w:marLeft w:val="0"/>
      <w:marRight w:val="0"/>
      <w:marTop w:val="100"/>
      <w:marBottom w:val="0"/>
      <w:divBdr>
        <w:top w:val="none" w:sz="0" w:space="0" w:color="auto"/>
        <w:left w:val="none" w:sz="0" w:space="0" w:color="auto"/>
        <w:bottom w:val="none" w:sz="0" w:space="0" w:color="auto"/>
        <w:right w:val="none" w:sz="0" w:space="0" w:color="auto"/>
      </w:divBdr>
    </w:div>
    <w:div w:id="664555864">
      <w:marLeft w:val="0"/>
      <w:marRight w:val="0"/>
      <w:marTop w:val="100"/>
      <w:marBottom w:val="0"/>
      <w:divBdr>
        <w:top w:val="none" w:sz="0" w:space="0" w:color="auto"/>
        <w:left w:val="none" w:sz="0" w:space="0" w:color="auto"/>
        <w:bottom w:val="none" w:sz="0" w:space="0" w:color="auto"/>
        <w:right w:val="none" w:sz="0" w:space="0" w:color="auto"/>
      </w:divBdr>
    </w:div>
    <w:div w:id="664626180">
      <w:marLeft w:val="0"/>
      <w:marRight w:val="0"/>
      <w:marTop w:val="100"/>
      <w:marBottom w:val="0"/>
      <w:divBdr>
        <w:top w:val="none" w:sz="0" w:space="0" w:color="auto"/>
        <w:left w:val="none" w:sz="0" w:space="0" w:color="auto"/>
        <w:bottom w:val="none" w:sz="0" w:space="0" w:color="auto"/>
        <w:right w:val="none" w:sz="0" w:space="0" w:color="auto"/>
      </w:divBdr>
    </w:div>
    <w:div w:id="665403014">
      <w:marLeft w:val="0"/>
      <w:marRight w:val="0"/>
      <w:marTop w:val="100"/>
      <w:marBottom w:val="0"/>
      <w:divBdr>
        <w:top w:val="none" w:sz="0" w:space="0" w:color="auto"/>
        <w:left w:val="none" w:sz="0" w:space="0" w:color="auto"/>
        <w:bottom w:val="none" w:sz="0" w:space="0" w:color="auto"/>
        <w:right w:val="none" w:sz="0" w:space="0" w:color="auto"/>
      </w:divBdr>
    </w:div>
    <w:div w:id="669674244">
      <w:marLeft w:val="0"/>
      <w:marRight w:val="0"/>
      <w:marTop w:val="100"/>
      <w:marBottom w:val="0"/>
      <w:divBdr>
        <w:top w:val="none" w:sz="0" w:space="0" w:color="auto"/>
        <w:left w:val="none" w:sz="0" w:space="0" w:color="auto"/>
        <w:bottom w:val="none" w:sz="0" w:space="0" w:color="auto"/>
        <w:right w:val="none" w:sz="0" w:space="0" w:color="auto"/>
      </w:divBdr>
    </w:div>
    <w:div w:id="671571733">
      <w:marLeft w:val="0"/>
      <w:marRight w:val="0"/>
      <w:marTop w:val="100"/>
      <w:marBottom w:val="0"/>
      <w:divBdr>
        <w:top w:val="none" w:sz="0" w:space="0" w:color="auto"/>
        <w:left w:val="none" w:sz="0" w:space="0" w:color="auto"/>
        <w:bottom w:val="none" w:sz="0" w:space="0" w:color="auto"/>
        <w:right w:val="none" w:sz="0" w:space="0" w:color="auto"/>
      </w:divBdr>
    </w:div>
    <w:div w:id="674184110">
      <w:marLeft w:val="0"/>
      <w:marRight w:val="0"/>
      <w:marTop w:val="100"/>
      <w:marBottom w:val="0"/>
      <w:divBdr>
        <w:top w:val="none" w:sz="0" w:space="0" w:color="auto"/>
        <w:left w:val="none" w:sz="0" w:space="0" w:color="auto"/>
        <w:bottom w:val="none" w:sz="0" w:space="0" w:color="auto"/>
        <w:right w:val="none" w:sz="0" w:space="0" w:color="auto"/>
      </w:divBdr>
    </w:div>
    <w:div w:id="676004527">
      <w:marLeft w:val="0"/>
      <w:marRight w:val="0"/>
      <w:marTop w:val="280"/>
      <w:marBottom w:val="0"/>
      <w:divBdr>
        <w:top w:val="none" w:sz="0" w:space="0" w:color="auto"/>
        <w:left w:val="none" w:sz="0" w:space="0" w:color="auto"/>
        <w:bottom w:val="none" w:sz="0" w:space="0" w:color="auto"/>
        <w:right w:val="none" w:sz="0" w:space="0" w:color="auto"/>
      </w:divBdr>
    </w:div>
    <w:div w:id="688222795">
      <w:marLeft w:val="0"/>
      <w:marRight w:val="0"/>
      <w:marTop w:val="0"/>
      <w:marBottom w:val="0"/>
      <w:divBdr>
        <w:top w:val="none" w:sz="0" w:space="0" w:color="auto"/>
        <w:left w:val="none" w:sz="0" w:space="0" w:color="auto"/>
        <w:bottom w:val="none" w:sz="0" w:space="0" w:color="auto"/>
        <w:right w:val="none" w:sz="0" w:space="0" w:color="auto"/>
      </w:divBdr>
    </w:div>
    <w:div w:id="689837271">
      <w:marLeft w:val="0"/>
      <w:marRight w:val="0"/>
      <w:marTop w:val="100"/>
      <w:marBottom w:val="0"/>
      <w:divBdr>
        <w:top w:val="none" w:sz="0" w:space="0" w:color="auto"/>
        <w:left w:val="none" w:sz="0" w:space="0" w:color="auto"/>
        <w:bottom w:val="none" w:sz="0" w:space="0" w:color="auto"/>
        <w:right w:val="none" w:sz="0" w:space="0" w:color="auto"/>
      </w:divBdr>
    </w:div>
    <w:div w:id="691953905">
      <w:marLeft w:val="0"/>
      <w:marRight w:val="0"/>
      <w:marTop w:val="100"/>
      <w:marBottom w:val="0"/>
      <w:divBdr>
        <w:top w:val="none" w:sz="0" w:space="0" w:color="auto"/>
        <w:left w:val="none" w:sz="0" w:space="0" w:color="auto"/>
        <w:bottom w:val="none" w:sz="0" w:space="0" w:color="auto"/>
        <w:right w:val="none" w:sz="0" w:space="0" w:color="auto"/>
      </w:divBdr>
    </w:div>
    <w:div w:id="700592825">
      <w:marLeft w:val="0"/>
      <w:marRight w:val="0"/>
      <w:marTop w:val="0"/>
      <w:marBottom w:val="0"/>
      <w:divBdr>
        <w:top w:val="none" w:sz="0" w:space="0" w:color="auto"/>
        <w:left w:val="none" w:sz="0" w:space="0" w:color="auto"/>
        <w:bottom w:val="none" w:sz="0" w:space="0" w:color="auto"/>
        <w:right w:val="none" w:sz="0" w:space="0" w:color="auto"/>
      </w:divBdr>
      <w:divsChild>
        <w:div w:id="190344664">
          <w:marLeft w:val="0"/>
          <w:marRight w:val="0"/>
          <w:marTop w:val="0"/>
          <w:marBottom w:val="0"/>
          <w:divBdr>
            <w:top w:val="none" w:sz="0" w:space="0" w:color="auto"/>
            <w:left w:val="none" w:sz="0" w:space="0" w:color="auto"/>
            <w:bottom w:val="none" w:sz="0" w:space="0" w:color="auto"/>
            <w:right w:val="none" w:sz="0" w:space="0" w:color="auto"/>
          </w:divBdr>
        </w:div>
      </w:divsChild>
    </w:div>
    <w:div w:id="706686617">
      <w:marLeft w:val="0"/>
      <w:marRight w:val="0"/>
      <w:marTop w:val="0"/>
      <w:marBottom w:val="0"/>
      <w:divBdr>
        <w:top w:val="none" w:sz="0" w:space="0" w:color="auto"/>
        <w:left w:val="none" w:sz="0" w:space="0" w:color="auto"/>
        <w:bottom w:val="none" w:sz="0" w:space="0" w:color="auto"/>
        <w:right w:val="none" w:sz="0" w:space="0" w:color="auto"/>
      </w:divBdr>
      <w:divsChild>
        <w:div w:id="1540974644">
          <w:marLeft w:val="0"/>
          <w:marRight w:val="0"/>
          <w:marTop w:val="0"/>
          <w:marBottom w:val="0"/>
          <w:divBdr>
            <w:top w:val="none" w:sz="0" w:space="0" w:color="auto"/>
            <w:left w:val="none" w:sz="0" w:space="0" w:color="auto"/>
            <w:bottom w:val="none" w:sz="0" w:space="0" w:color="auto"/>
            <w:right w:val="none" w:sz="0" w:space="0" w:color="auto"/>
          </w:divBdr>
        </w:div>
      </w:divsChild>
    </w:div>
    <w:div w:id="724648111">
      <w:marLeft w:val="0"/>
      <w:marRight w:val="0"/>
      <w:marTop w:val="100"/>
      <w:marBottom w:val="0"/>
      <w:divBdr>
        <w:top w:val="none" w:sz="0" w:space="0" w:color="auto"/>
        <w:left w:val="none" w:sz="0" w:space="0" w:color="auto"/>
        <w:bottom w:val="none" w:sz="0" w:space="0" w:color="auto"/>
        <w:right w:val="none" w:sz="0" w:space="0" w:color="auto"/>
      </w:divBdr>
    </w:div>
    <w:div w:id="728502171">
      <w:marLeft w:val="0"/>
      <w:marRight w:val="0"/>
      <w:marTop w:val="100"/>
      <w:marBottom w:val="0"/>
      <w:divBdr>
        <w:top w:val="none" w:sz="0" w:space="0" w:color="auto"/>
        <w:left w:val="none" w:sz="0" w:space="0" w:color="auto"/>
        <w:bottom w:val="none" w:sz="0" w:space="0" w:color="auto"/>
        <w:right w:val="none" w:sz="0" w:space="0" w:color="auto"/>
      </w:divBdr>
    </w:div>
    <w:div w:id="730152149">
      <w:marLeft w:val="0"/>
      <w:marRight w:val="0"/>
      <w:marTop w:val="100"/>
      <w:marBottom w:val="0"/>
      <w:divBdr>
        <w:top w:val="none" w:sz="0" w:space="0" w:color="auto"/>
        <w:left w:val="none" w:sz="0" w:space="0" w:color="auto"/>
        <w:bottom w:val="none" w:sz="0" w:space="0" w:color="auto"/>
        <w:right w:val="none" w:sz="0" w:space="0" w:color="auto"/>
      </w:divBdr>
    </w:div>
    <w:div w:id="736050571">
      <w:marLeft w:val="0"/>
      <w:marRight w:val="0"/>
      <w:marTop w:val="100"/>
      <w:marBottom w:val="0"/>
      <w:divBdr>
        <w:top w:val="none" w:sz="0" w:space="0" w:color="auto"/>
        <w:left w:val="none" w:sz="0" w:space="0" w:color="auto"/>
        <w:bottom w:val="none" w:sz="0" w:space="0" w:color="auto"/>
        <w:right w:val="none" w:sz="0" w:space="0" w:color="auto"/>
      </w:divBdr>
    </w:div>
    <w:div w:id="737629961">
      <w:marLeft w:val="0"/>
      <w:marRight w:val="0"/>
      <w:marTop w:val="100"/>
      <w:marBottom w:val="0"/>
      <w:divBdr>
        <w:top w:val="none" w:sz="0" w:space="0" w:color="auto"/>
        <w:left w:val="none" w:sz="0" w:space="0" w:color="auto"/>
        <w:bottom w:val="none" w:sz="0" w:space="0" w:color="auto"/>
        <w:right w:val="none" w:sz="0" w:space="0" w:color="auto"/>
      </w:divBdr>
    </w:div>
    <w:div w:id="739644075">
      <w:marLeft w:val="0"/>
      <w:marRight w:val="0"/>
      <w:marTop w:val="60"/>
      <w:marBottom w:val="0"/>
      <w:divBdr>
        <w:top w:val="none" w:sz="0" w:space="0" w:color="auto"/>
        <w:left w:val="none" w:sz="0" w:space="0" w:color="auto"/>
        <w:bottom w:val="none" w:sz="0" w:space="0" w:color="auto"/>
        <w:right w:val="none" w:sz="0" w:space="0" w:color="auto"/>
      </w:divBdr>
    </w:div>
    <w:div w:id="745106829">
      <w:marLeft w:val="0"/>
      <w:marRight w:val="0"/>
      <w:marTop w:val="100"/>
      <w:marBottom w:val="0"/>
      <w:divBdr>
        <w:top w:val="none" w:sz="0" w:space="0" w:color="auto"/>
        <w:left w:val="none" w:sz="0" w:space="0" w:color="auto"/>
        <w:bottom w:val="none" w:sz="0" w:space="0" w:color="auto"/>
        <w:right w:val="none" w:sz="0" w:space="0" w:color="auto"/>
      </w:divBdr>
    </w:div>
    <w:div w:id="747578840">
      <w:marLeft w:val="0"/>
      <w:marRight w:val="0"/>
      <w:marTop w:val="100"/>
      <w:marBottom w:val="0"/>
      <w:divBdr>
        <w:top w:val="none" w:sz="0" w:space="0" w:color="auto"/>
        <w:left w:val="none" w:sz="0" w:space="0" w:color="auto"/>
        <w:bottom w:val="none" w:sz="0" w:space="0" w:color="auto"/>
        <w:right w:val="none" w:sz="0" w:space="0" w:color="auto"/>
      </w:divBdr>
    </w:div>
    <w:div w:id="749934616">
      <w:marLeft w:val="0"/>
      <w:marRight w:val="0"/>
      <w:marTop w:val="60"/>
      <w:marBottom w:val="0"/>
      <w:divBdr>
        <w:top w:val="none" w:sz="0" w:space="0" w:color="auto"/>
        <w:left w:val="none" w:sz="0" w:space="0" w:color="auto"/>
        <w:bottom w:val="none" w:sz="0" w:space="0" w:color="auto"/>
        <w:right w:val="none" w:sz="0" w:space="0" w:color="auto"/>
      </w:divBdr>
    </w:div>
    <w:div w:id="756556181">
      <w:marLeft w:val="0"/>
      <w:marRight w:val="0"/>
      <w:marTop w:val="0"/>
      <w:marBottom w:val="0"/>
      <w:divBdr>
        <w:top w:val="none" w:sz="0" w:space="0" w:color="auto"/>
        <w:left w:val="none" w:sz="0" w:space="0" w:color="auto"/>
        <w:bottom w:val="none" w:sz="0" w:space="0" w:color="auto"/>
        <w:right w:val="none" w:sz="0" w:space="0" w:color="auto"/>
      </w:divBdr>
    </w:div>
    <w:div w:id="769664857">
      <w:marLeft w:val="0"/>
      <w:marRight w:val="0"/>
      <w:marTop w:val="0"/>
      <w:marBottom w:val="0"/>
      <w:divBdr>
        <w:top w:val="none" w:sz="0" w:space="0" w:color="auto"/>
        <w:left w:val="none" w:sz="0" w:space="0" w:color="auto"/>
        <w:bottom w:val="none" w:sz="0" w:space="0" w:color="auto"/>
        <w:right w:val="none" w:sz="0" w:space="0" w:color="auto"/>
      </w:divBdr>
      <w:divsChild>
        <w:div w:id="259991346">
          <w:marLeft w:val="0"/>
          <w:marRight w:val="0"/>
          <w:marTop w:val="0"/>
          <w:marBottom w:val="0"/>
          <w:divBdr>
            <w:top w:val="none" w:sz="0" w:space="0" w:color="auto"/>
            <w:left w:val="none" w:sz="0" w:space="0" w:color="auto"/>
            <w:bottom w:val="none" w:sz="0" w:space="0" w:color="auto"/>
            <w:right w:val="none" w:sz="0" w:space="0" w:color="auto"/>
          </w:divBdr>
        </w:div>
      </w:divsChild>
    </w:div>
    <w:div w:id="770201780">
      <w:marLeft w:val="0"/>
      <w:marRight w:val="0"/>
      <w:marTop w:val="280"/>
      <w:marBottom w:val="0"/>
      <w:divBdr>
        <w:top w:val="none" w:sz="0" w:space="0" w:color="auto"/>
        <w:left w:val="none" w:sz="0" w:space="0" w:color="auto"/>
        <w:bottom w:val="none" w:sz="0" w:space="0" w:color="auto"/>
        <w:right w:val="none" w:sz="0" w:space="0" w:color="auto"/>
      </w:divBdr>
    </w:div>
    <w:div w:id="775910187">
      <w:marLeft w:val="0"/>
      <w:marRight w:val="0"/>
      <w:marTop w:val="280"/>
      <w:marBottom w:val="0"/>
      <w:divBdr>
        <w:top w:val="none" w:sz="0" w:space="0" w:color="auto"/>
        <w:left w:val="none" w:sz="0" w:space="0" w:color="auto"/>
        <w:bottom w:val="none" w:sz="0" w:space="0" w:color="auto"/>
        <w:right w:val="none" w:sz="0" w:space="0" w:color="auto"/>
      </w:divBdr>
    </w:div>
    <w:div w:id="777869906">
      <w:marLeft w:val="0"/>
      <w:marRight w:val="0"/>
      <w:marTop w:val="120"/>
      <w:marBottom w:val="0"/>
      <w:divBdr>
        <w:top w:val="none" w:sz="0" w:space="0" w:color="auto"/>
        <w:left w:val="none" w:sz="0" w:space="0" w:color="auto"/>
        <w:bottom w:val="none" w:sz="0" w:space="0" w:color="auto"/>
        <w:right w:val="none" w:sz="0" w:space="0" w:color="auto"/>
      </w:divBdr>
    </w:div>
    <w:div w:id="781191411">
      <w:marLeft w:val="0"/>
      <w:marRight w:val="0"/>
      <w:marTop w:val="100"/>
      <w:marBottom w:val="0"/>
      <w:divBdr>
        <w:top w:val="none" w:sz="0" w:space="0" w:color="auto"/>
        <w:left w:val="none" w:sz="0" w:space="0" w:color="auto"/>
        <w:bottom w:val="none" w:sz="0" w:space="0" w:color="auto"/>
        <w:right w:val="none" w:sz="0" w:space="0" w:color="auto"/>
      </w:divBdr>
    </w:div>
    <w:div w:id="786697176">
      <w:marLeft w:val="0"/>
      <w:marRight w:val="0"/>
      <w:marTop w:val="280"/>
      <w:marBottom w:val="0"/>
      <w:divBdr>
        <w:top w:val="none" w:sz="0" w:space="0" w:color="auto"/>
        <w:left w:val="none" w:sz="0" w:space="0" w:color="auto"/>
        <w:bottom w:val="none" w:sz="0" w:space="0" w:color="auto"/>
        <w:right w:val="none" w:sz="0" w:space="0" w:color="auto"/>
      </w:divBdr>
    </w:div>
    <w:div w:id="788665369">
      <w:marLeft w:val="0"/>
      <w:marRight w:val="0"/>
      <w:marTop w:val="0"/>
      <w:marBottom w:val="0"/>
      <w:divBdr>
        <w:top w:val="none" w:sz="0" w:space="0" w:color="auto"/>
        <w:left w:val="none" w:sz="0" w:space="0" w:color="auto"/>
        <w:bottom w:val="none" w:sz="0" w:space="0" w:color="auto"/>
        <w:right w:val="none" w:sz="0" w:space="0" w:color="auto"/>
      </w:divBdr>
      <w:divsChild>
        <w:div w:id="118959495">
          <w:marLeft w:val="0"/>
          <w:marRight w:val="0"/>
          <w:marTop w:val="0"/>
          <w:marBottom w:val="0"/>
          <w:divBdr>
            <w:top w:val="none" w:sz="0" w:space="0" w:color="auto"/>
            <w:left w:val="none" w:sz="0" w:space="0" w:color="auto"/>
            <w:bottom w:val="none" w:sz="0" w:space="0" w:color="auto"/>
            <w:right w:val="none" w:sz="0" w:space="0" w:color="auto"/>
          </w:divBdr>
        </w:div>
      </w:divsChild>
    </w:div>
    <w:div w:id="795952943">
      <w:marLeft w:val="0"/>
      <w:marRight w:val="0"/>
      <w:marTop w:val="100"/>
      <w:marBottom w:val="0"/>
      <w:divBdr>
        <w:top w:val="none" w:sz="0" w:space="0" w:color="auto"/>
        <w:left w:val="none" w:sz="0" w:space="0" w:color="auto"/>
        <w:bottom w:val="none" w:sz="0" w:space="0" w:color="auto"/>
        <w:right w:val="none" w:sz="0" w:space="0" w:color="auto"/>
      </w:divBdr>
    </w:div>
    <w:div w:id="798260782">
      <w:marLeft w:val="0"/>
      <w:marRight w:val="0"/>
      <w:marTop w:val="120"/>
      <w:marBottom w:val="0"/>
      <w:divBdr>
        <w:top w:val="none" w:sz="0" w:space="0" w:color="auto"/>
        <w:left w:val="none" w:sz="0" w:space="0" w:color="auto"/>
        <w:bottom w:val="none" w:sz="0" w:space="0" w:color="auto"/>
        <w:right w:val="none" w:sz="0" w:space="0" w:color="auto"/>
      </w:divBdr>
    </w:div>
    <w:div w:id="800805256">
      <w:marLeft w:val="0"/>
      <w:marRight w:val="0"/>
      <w:marTop w:val="280"/>
      <w:marBottom w:val="0"/>
      <w:divBdr>
        <w:top w:val="none" w:sz="0" w:space="0" w:color="auto"/>
        <w:left w:val="none" w:sz="0" w:space="0" w:color="auto"/>
        <w:bottom w:val="none" w:sz="0" w:space="0" w:color="auto"/>
        <w:right w:val="none" w:sz="0" w:space="0" w:color="auto"/>
      </w:divBdr>
    </w:div>
    <w:div w:id="804784810">
      <w:marLeft w:val="0"/>
      <w:marRight w:val="0"/>
      <w:marTop w:val="100"/>
      <w:marBottom w:val="0"/>
      <w:divBdr>
        <w:top w:val="none" w:sz="0" w:space="0" w:color="auto"/>
        <w:left w:val="none" w:sz="0" w:space="0" w:color="auto"/>
        <w:bottom w:val="none" w:sz="0" w:space="0" w:color="auto"/>
        <w:right w:val="none" w:sz="0" w:space="0" w:color="auto"/>
      </w:divBdr>
    </w:div>
    <w:div w:id="810831281">
      <w:marLeft w:val="0"/>
      <w:marRight w:val="0"/>
      <w:marTop w:val="100"/>
      <w:marBottom w:val="0"/>
      <w:divBdr>
        <w:top w:val="none" w:sz="0" w:space="0" w:color="auto"/>
        <w:left w:val="none" w:sz="0" w:space="0" w:color="auto"/>
        <w:bottom w:val="none" w:sz="0" w:space="0" w:color="auto"/>
        <w:right w:val="none" w:sz="0" w:space="0" w:color="auto"/>
      </w:divBdr>
    </w:div>
    <w:div w:id="823200850">
      <w:marLeft w:val="0"/>
      <w:marRight w:val="0"/>
      <w:marTop w:val="100"/>
      <w:marBottom w:val="0"/>
      <w:divBdr>
        <w:top w:val="none" w:sz="0" w:space="0" w:color="auto"/>
        <w:left w:val="none" w:sz="0" w:space="0" w:color="auto"/>
        <w:bottom w:val="none" w:sz="0" w:space="0" w:color="auto"/>
        <w:right w:val="none" w:sz="0" w:space="0" w:color="auto"/>
      </w:divBdr>
    </w:div>
    <w:div w:id="824707437">
      <w:marLeft w:val="0"/>
      <w:marRight w:val="0"/>
      <w:marTop w:val="100"/>
      <w:marBottom w:val="0"/>
      <w:divBdr>
        <w:top w:val="none" w:sz="0" w:space="0" w:color="auto"/>
        <w:left w:val="none" w:sz="0" w:space="0" w:color="auto"/>
        <w:bottom w:val="none" w:sz="0" w:space="0" w:color="auto"/>
        <w:right w:val="none" w:sz="0" w:space="0" w:color="auto"/>
      </w:divBdr>
    </w:div>
    <w:div w:id="824782324">
      <w:marLeft w:val="0"/>
      <w:marRight w:val="0"/>
      <w:marTop w:val="0"/>
      <w:marBottom w:val="0"/>
      <w:divBdr>
        <w:top w:val="none" w:sz="0" w:space="0" w:color="auto"/>
        <w:left w:val="none" w:sz="0" w:space="0" w:color="auto"/>
        <w:bottom w:val="none" w:sz="0" w:space="0" w:color="auto"/>
        <w:right w:val="none" w:sz="0" w:space="0" w:color="auto"/>
      </w:divBdr>
    </w:div>
    <w:div w:id="827599001">
      <w:marLeft w:val="0"/>
      <w:marRight w:val="0"/>
      <w:marTop w:val="100"/>
      <w:marBottom w:val="0"/>
      <w:divBdr>
        <w:top w:val="none" w:sz="0" w:space="0" w:color="auto"/>
        <w:left w:val="none" w:sz="0" w:space="0" w:color="auto"/>
        <w:bottom w:val="none" w:sz="0" w:space="0" w:color="auto"/>
        <w:right w:val="none" w:sz="0" w:space="0" w:color="auto"/>
      </w:divBdr>
    </w:div>
    <w:div w:id="827791608">
      <w:marLeft w:val="0"/>
      <w:marRight w:val="0"/>
      <w:marTop w:val="0"/>
      <w:marBottom w:val="0"/>
      <w:divBdr>
        <w:top w:val="none" w:sz="0" w:space="0" w:color="auto"/>
        <w:left w:val="none" w:sz="0" w:space="0" w:color="auto"/>
        <w:bottom w:val="none" w:sz="0" w:space="0" w:color="auto"/>
        <w:right w:val="none" w:sz="0" w:space="0" w:color="auto"/>
      </w:divBdr>
      <w:divsChild>
        <w:div w:id="1449816964">
          <w:marLeft w:val="0"/>
          <w:marRight w:val="0"/>
          <w:marTop w:val="0"/>
          <w:marBottom w:val="0"/>
          <w:divBdr>
            <w:top w:val="none" w:sz="0" w:space="0" w:color="auto"/>
            <w:left w:val="none" w:sz="0" w:space="0" w:color="auto"/>
            <w:bottom w:val="none" w:sz="0" w:space="0" w:color="auto"/>
            <w:right w:val="none" w:sz="0" w:space="0" w:color="auto"/>
          </w:divBdr>
        </w:div>
      </w:divsChild>
    </w:div>
    <w:div w:id="836189201">
      <w:marLeft w:val="0"/>
      <w:marRight w:val="0"/>
      <w:marTop w:val="280"/>
      <w:marBottom w:val="0"/>
      <w:divBdr>
        <w:top w:val="none" w:sz="0" w:space="0" w:color="auto"/>
        <w:left w:val="none" w:sz="0" w:space="0" w:color="auto"/>
        <w:bottom w:val="none" w:sz="0" w:space="0" w:color="auto"/>
        <w:right w:val="none" w:sz="0" w:space="0" w:color="auto"/>
      </w:divBdr>
    </w:div>
    <w:div w:id="842166666">
      <w:marLeft w:val="0"/>
      <w:marRight w:val="0"/>
      <w:marTop w:val="280"/>
      <w:marBottom w:val="0"/>
      <w:divBdr>
        <w:top w:val="none" w:sz="0" w:space="0" w:color="auto"/>
        <w:left w:val="none" w:sz="0" w:space="0" w:color="auto"/>
        <w:bottom w:val="none" w:sz="0" w:space="0" w:color="auto"/>
        <w:right w:val="none" w:sz="0" w:space="0" w:color="auto"/>
      </w:divBdr>
    </w:div>
    <w:div w:id="843012849">
      <w:marLeft w:val="0"/>
      <w:marRight w:val="0"/>
      <w:marTop w:val="280"/>
      <w:marBottom w:val="0"/>
      <w:divBdr>
        <w:top w:val="none" w:sz="0" w:space="0" w:color="auto"/>
        <w:left w:val="none" w:sz="0" w:space="0" w:color="auto"/>
        <w:bottom w:val="none" w:sz="0" w:space="0" w:color="auto"/>
        <w:right w:val="none" w:sz="0" w:space="0" w:color="auto"/>
      </w:divBdr>
    </w:div>
    <w:div w:id="845481680">
      <w:marLeft w:val="0"/>
      <w:marRight w:val="0"/>
      <w:marTop w:val="0"/>
      <w:marBottom w:val="0"/>
      <w:divBdr>
        <w:top w:val="none" w:sz="0" w:space="0" w:color="auto"/>
        <w:left w:val="none" w:sz="0" w:space="0" w:color="auto"/>
        <w:bottom w:val="none" w:sz="0" w:space="0" w:color="auto"/>
        <w:right w:val="none" w:sz="0" w:space="0" w:color="auto"/>
      </w:divBdr>
    </w:div>
    <w:div w:id="847794314">
      <w:marLeft w:val="0"/>
      <w:marRight w:val="0"/>
      <w:marTop w:val="100"/>
      <w:marBottom w:val="0"/>
      <w:divBdr>
        <w:top w:val="none" w:sz="0" w:space="0" w:color="auto"/>
        <w:left w:val="none" w:sz="0" w:space="0" w:color="auto"/>
        <w:bottom w:val="none" w:sz="0" w:space="0" w:color="auto"/>
        <w:right w:val="none" w:sz="0" w:space="0" w:color="auto"/>
      </w:divBdr>
    </w:div>
    <w:div w:id="848259105">
      <w:marLeft w:val="0"/>
      <w:marRight w:val="0"/>
      <w:marTop w:val="100"/>
      <w:marBottom w:val="0"/>
      <w:divBdr>
        <w:top w:val="none" w:sz="0" w:space="0" w:color="auto"/>
        <w:left w:val="none" w:sz="0" w:space="0" w:color="auto"/>
        <w:bottom w:val="none" w:sz="0" w:space="0" w:color="auto"/>
        <w:right w:val="none" w:sz="0" w:space="0" w:color="auto"/>
      </w:divBdr>
    </w:div>
    <w:div w:id="848376652">
      <w:marLeft w:val="0"/>
      <w:marRight w:val="0"/>
      <w:marTop w:val="280"/>
      <w:marBottom w:val="0"/>
      <w:divBdr>
        <w:top w:val="none" w:sz="0" w:space="0" w:color="auto"/>
        <w:left w:val="none" w:sz="0" w:space="0" w:color="auto"/>
        <w:bottom w:val="none" w:sz="0" w:space="0" w:color="auto"/>
        <w:right w:val="none" w:sz="0" w:space="0" w:color="auto"/>
      </w:divBdr>
    </w:div>
    <w:div w:id="882448283">
      <w:marLeft w:val="0"/>
      <w:marRight w:val="0"/>
      <w:marTop w:val="100"/>
      <w:marBottom w:val="0"/>
      <w:divBdr>
        <w:top w:val="none" w:sz="0" w:space="0" w:color="auto"/>
        <w:left w:val="none" w:sz="0" w:space="0" w:color="auto"/>
        <w:bottom w:val="none" w:sz="0" w:space="0" w:color="auto"/>
        <w:right w:val="none" w:sz="0" w:space="0" w:color="auto"/>
      </w:divBdr>
    </w:div>
    <w:div w:id="884566025">
      <w:marLeft w:val="0"/>
      <w:marRight w:val="0"/>
      <w:marTop w:val="0"/>
      <w:marBottom w:val="0"/>
      <w:divBdr>
        <w:top w:val="none" w:sz="0" w:space="0" w:color="auto"/>
        <w:left w:val="none" w:sz="0" w:space="0" w:color="auto"/>
        <w:bottom w:val="none" w:sz="0" w:space="0" w:color="auto"/>
        <w:right w:val="none" w:sz="0" w:space="0" w:color="auto"/>
      </w:divBdr>
      <w:divsChild>
        <w:div w:id="1091702813">
          <w:marLeft w:val="0"/>
          <w:marRight w:val="0"/>
          <w:marTop w:val="0"/>
          <w:marBottom w:val="0"/>
          <w:divBdr>
            <w:top w:val="none" w:sz="0" w:space="0" w:color="auto"/>
            <w:left w:val="none" w:sz="0" w:space="0" w:color="auto"/>
            <w:bottom w:val="none" w:sz="0" w:space="0" w:color="auto"/>
            <w:right w:val="none" w:sz="0" w:space="0" w:color="auto"/>
          </w:divBdr>
        </w:div>
      </w:divsChild>
    </w:div>
    <w:div w:id="885600333">
      <w:marLeft w:val="0"/>
      <w:marRight w:val="0"/>
      <w:marTop w:val="280"/>
      <w:marBottom w:val="0"/>
      <w:divBdr>
        <w:top w:val="none" w:sz="0" w:space="0" w:color="auto"/>
        <w:left w:val="none" w:sz="0" w:space="0" w:color="auto"/>
        <w:bottom w:val="none" w:sz="0" w:space="0" w:color="auto"/>
        <w:right w:val="none" w:sz="0" w:space="0" w:color="auto"/>
      </w:divBdr>
    </w:div>
    <w:div w:id="887912402">
      <w:marLeft w:val="0"/>
      <w:marRight w:val="0"/>
      <w:marTop w:val="100"/>
      <w:marBottom w:val="0"/>
      <w:divBdr>
        <w:top w:val="none" w:sz="0" w:space="0" w:color="auto"/>
        <w:left w:val="none" w:sz="0" w:space="0" w:color="auto"/>
        <w:bottom w:val="none" w:sz="0" w:space="0" w:color="auto"/>
        <w:right w:val="none" w:sz="0" w:space="0" w:color="auto"/>
      </w:divBdr>
    </w:div>
    <w:div w:id="896667201">
      <w:marLeft w:val="0"/>
      <w:marRight w:val="0"/>
      <w:marTop w:val="0"/>
      <w:marBottom w:val="0"/>
      <w:divBdr>
        <w:top w:val="none" w:sz="0" w:space="0" w:color="auto"/>
        <w:left w:val="none" w:sz="0" w:space="0" w:color="auto"/>
        <w:bottom w:val="none" w:sz="0" w:space="0" w:color="auto"/>
        <w:right w:val="none" w:sz="0" w:space="0" w:color="auto"/>
      </w:divBdr>
    </w:div>
    <w:div w:id="900555026">
      <w:marLeft w:val="0"/>
      <w:marRight w:val="0"/>
      <w:marTop w:val="40"/>
      <w:marBottom w:val="0"/>
      <w:divBdr>
        <w:top w:val="none" w:sz="0" w:space="0" w:color="auto"/>
        <w:left w:val="none" w:sz="0" w:space="0" w:color="auto"/>
        <w:bottom w:val="none" w:sz="0" w:space="0" w:color="auto"/>
        <w:right w:val="none" w:sz="0" w:space="0" w:color="auto"/>
      </w:divBdr>
    </w:div>
    <w:div w:id="913247005">
      <w:marLeft w:val="0"/>
      <w:marRight w:val="0"/>
      <w:marTop w:val="40"/>
      <w:marBottom w:val="0"/>
      <w:divBdr>
        <w:top w:val="none" w:sz="0" w:space="0" w:color="auto"/>
        <w:left w:val="none" w:sz="0" w:space="0" w:color="auto"/>
        <w:bottom w:val="none" w:sz="0" w:space="0" w:color="auto"/>
        <w:right w:val="none" w:sz="0" w:space="0" w:color="auto"/>
      </w:divBdr>
    </w:div>
    <w:div w:id="921181086">
      <w:marLeft w:val="0"/>
      <w:marRight w:val="0"/>
      <w:marTop w:val="0"/>
      <w:marBottom w:val="0"/>
      <w:divBdr>
        <w:top w:val="none" w:sz="0" w:space="0" w:color="auto"/>
        <w:left w:val="none" w:sz="0" w:space="0" w:color="auto"/>
        <w:bottom w:val="none" w:sz="0" w:space="0" w:color="auto"/>
        <w:right w:val="none" w:sz="0" w:space="0" w:color="auto"/>
      </w:divBdr>
      <w:divsChild>
        <w:div w:id="1526018013">
          <w:marLeft w:val="0"/>
          <w:marRight w:val="0"/>
          <w:marTop w:val="0"/>
          <w:marBottom w:val="0"/>
          <w:divBdr>
            <w:top w:val="none" w:sz="0" w:space="0" w:color="auto"/>
            <w:left w:val="none" w:sz="0" w:space="0" w:color="auto"/>
            <w:bottom w:val="none" w:sz="0" w:space="0" w:color="auto"/>
            <w:right w:val="none" w:sz="0" w:space="0" w:color="auto"/>
          </w:divBdr>
        </w:div>
      </w:divsChild>
    </w:div>
    <w:div w:id="925306303">
      <w:marLeft w:val="0"/>
      <w:marRight w:val="0"/>
      <w:marTop w:val="100"/>
      <w:marBottom w:val="0"/>
      <w:divBdr>
        <w:top w:val="none" w:sz="0" w:space="0" w:color="auto"/>
        <w:left w:val="none" w:sz="0" w:space="0" w:color="auto"/>
        <w:bottom w:val="none" w:sz="0" w:space="0" w:color="auto"/>
        <w:right w:val="none" w:sz="0" w:space="0" w:color="auto"/>
      </w:divBdr>
    </w:div>
    <w:div w:id="929001593">
      <w:marLeft w:val="0"/>
      <w:marRight w:val="0"/>
      <w:marTop w:val="100"/>
      <w:marBottom w:val="0"/>
      <w:divBdr>
        <w:top w:val="none" w:sz="0" w:space="0" w:color="auto"/>
        <w:left w:val="none" w:sz="0" w:space="0" w:color="auto"/>
        <w:bottom w:val="none" w:sz="0" w:space="0" w:color="auto"/>
        <w:right w:val="none" w:sz="0" w:space="0" w:color="auto"/>
      </w:divBdr>
    </w:div>
    <w:div w:id="929046914">
      <w:marLeft w:val="0"/>
      <w:marRight w:val="0"/>
      <w:marTop w:val="100"/>
      <w:marBottom w:val="0"/>
      <w:divBdr>
        <w:top w:val="none" w:sz="0" w:space="0" w:color="auto"/>
        <w:left w:val="none" w:sz="0" w:space="0" w:color="auto"/>
        <w:bottom w:val="none" w:sz="0" w:space="0" w:color="auto"/>
        <w:right w:val="none" w:sz="0" w:space="0" w:color="auto"/>
      </w:divBdr>
    </w:div>
    <w:div w:id="930702520">
      <w:marLeft w:val="0"/>
      <w:marRight w:val="0"/>
      <w:marTop w:val="280"/>
      <w:marBottom w:val="0"/>
      <w:divBdr>
        <w:top w:val="none" w:sz="0" w:space="0" w:color="auto"/>
        <w:left w:val="none" w:sz="0" w:space="0" w:color="auto"/>
        <w:bottom w:val="none" w:sz="0" w:space="0" w:color="auto"/>
        <w:right w:val="none" w:sz="0" w:space="0" w:color="auto"/>
      </w:divBdr>
    </w:div>
    <w:div w:id="931086403">
      <w:marLeft w:val="0"/>
      <w:marRight w:val="0"/>
      <w:marTop w:val="100"/>
      <w:marBottom w:val="0"/>
      <w:divBdr>
        <w:top w:val="none" w:sz="0" w:space="0" w:color="auto"/>
        <w:left w:val="none" w:sz="0" w:space="0" w:color="auto"/>
        <w:bottom w:val="none" w:sz="0" w:space="0" w:color="auto"/>
        <w:right w:val="none" w:sz="0" w:space="0" w:color="auto"/>
      </w:divBdr>
    </w:div>
    <w:div w:id="931858788">
      <w:marLeft w:val="0"/>
      <w:marRight w:val="0"/>
      <w:marTop w:val="0"/>
      <w:marBottom w:val="0"/>
      <w:divBdr>
        <w:top w:val="none" w:sz="0" w:space="0" w:color="auto"/>
        <w:left w:val="none" w:sz="0" w:space="0" w:color="auto"/>
        <w:bottom w:val="none" w:sz="0" w:space="0" w:color="auto"/>
        <w:right w:val="none" w:sz="0" w:space="0" w:color="auto"/>
      </w:divBdr>
    </w:div>
    <w:div w:id="932469953">
      <w:marLeft w:val="0"/>
      <w:marRight w:val="0"/>
      <w:marTop w:val="100"/>
      <w:marBottom w:val="0"/>
      <w:divBdr>
        <w:top w:val="none" w:sz="0" w:space="0" w:color="auto"/>
        <w:left w:val="none" w:sz="0" w:space="0" w:color="auto"/>
        <w:bottom w:val="none" w:sz="0" w:space="0" w:color="auto"/>
        <w:right w:val="none" w:sz="0" w:space="0" w:color="auto"/>
      </w:divBdr>
    </w:div>
    <w:div w:id="932973801">
      <w:marLeft w:val="0"/>
      <w:marRight w:val="0"/>
      <w:marTop w:val="280"/>
      <w:marBottom w:val="0"/>
      <w:divBdr>
        <w:top w:val="none" w:sz="0" w:space="0" w:color="auto"/>
        <w:left w:val="none" w:sz="0" w:space="0" w:color="auto"/>
        <w:bottom w:val="none" w:sz="0" w:space="0" w:color="auto"/>
        <w:right w:val="none" w:sz="0" w:space="0" w:color="auto"/>
      </w:divBdr>
    </w:div>
    <w:div w:id="935938889">
      <w:marLeft w:val="0"/>
      <w:marRight w:val="0"/>
      <w:marTop w:val="280"/>
      <w:marBottom w:val="0"/>
      <w:divBdr>
        <w:top w:val="none" w:sz="0" w:space="0" w:color="auto"/>
        <w:left w:val="none" w:sz="0" w:space="0" w:color="auto"/>
        <w:bottom w:val="none" w:sz="0" w:space="0" w:color="auto"/>
        <w:right w:val="none" w:sz="0" w:space="0" w:color="auto"/>
      </w:divBdr>
    </w:div>
    <w:div w:id="936399613">
      <w:marLeft w:val="0"/>
      <w:marRight w:val="0"/>
      <w:marTop w:val="100"/>
      <w:marBottom w:val="0"/>
      <w:divBdr>
        <w:top w:val="none" w:sz="0" w:space="0" w:color="auto"/>
        <w:left w:val="none" w:sz="0" w:space="0" w:color="auto"/>
        <w:bottom w:val="none" w:sz="0" w:space="0" w:color="auto"/>
        <w:right w:val="none" w:sz="0" w:space="0" w:color="auto"/>
      </w:divBdr>
    </w:div>
    <w:div w:id="952056386">
      <w:marLeft w:val="0"/>
      <w:marRight w:val="0"/>
      <w:marTop w:val="280"/>
      <w:marBottom w:val="0"/>
      <w:divBdr>
        <w:top w:val="none" w:sz="0" w:space="0" w:color="auto"/>
        <w:left w:val="none" w:sz="0" w:space="0" w:color="auto"/>
        <w:bottom w:val="none" w:sz="0" w:space="0" w:color="auto"/>
        <w:right w:val="none" w:sz="0" w:space="0" w:color="auto"/>
      </w:divBdr>
    </w:div>
    <w:div w:id="952787323">
      <w:marLeft w:val="0"/>
      <w:marRight w:val="0"/>
      <w:marTop w:val="100"/>
      <w:marBottom w:val="120"/>
      <w:divBdr>
        <w:top w:val="none" w:sz="0" w:space="0" w:color="auto"/>
        <w:left w:val="none" w:sz="0" w:space="0" w:color="auto"/>
        <w:bottom w:val="none" w:sz="0" w:space="0" w:color="auto"/>
        <w:right w:val="none" w:sz="0" w:space="0" w:color="auto"/>
      </w:divBdr>
    </w:div>
    <w:div w:id="954598380">
      <w:marLeft w:val="0"/>
      <w:marRight w:val="0"/>
      <w:marTop w:val="60"/>
      <w:marBottom w:val="0"/>
      <w:divBdr>
        <w:top w:val="none" w:sz="0" w:space="0" w:color="auto"/>
        <w:left w:val="none" w:sz="0" w:space="0" w:color="auto"/>
        <w:bottom w:val="none" w:sz="0" w:space="0" w:color="auto"/>
        <w:right w:val="none" w:sz="0" w:space="0" w:color="auto"/>
      </w:divBdr>
    </w:div>
    <w:div w:id="955209030">
      <w:marLeft w:val="0"/>
      <w:marRight w:val="0"/>
      <w:marTop w:val="60"/>
      <w:marBottom w:val="0"/>
      <w:divBdr>
        <w:top w:val="none" w:sz="0" w:space="0" w:color="auto"/>
        <w:left w:val="none" w:sz="0" w:space="0" w:color="auto"/>
        <w:bottom w:val="none" w:sz="0" w:space="0" w:color="auto"/>
        <w:right w:val="none" w:sz="0" w:space="0" w:color="auto"/>
      </w:divBdr>
    </w:div>
    <w:div w:id="963468502">
      <w:marLeft w:val="0"/>
      <w:marRight w:val="0"/>
      <w:marTop w:val="280"/>
      <w:marBottom w:val="0"/>
      <w:divBdr>
        <w:top w:val="none" w:sz="0" w:space="0" w:color="auto"/>
        <w:left w:val="none" w:sz="0" w:space="0" w:color="auto"/>
        <w:bottom w:val="none" w:sz="0" w:space="0" w:color="auto"/>
        <w:right w:val="none" w:sz="0" w:space="0" w:color="auto"/>
      </w:divBdr>
    </w:div>
    <w:div w:id="963998165">
      <w:marLeft w:val="0"/>
      <w:marRight w:val="0"/>
      <w:marTop w:val="0"/>
      <w:marBottom w:val="0"/>
      <w:divBdr>
        <w:top w:val="none" w:sz="0" w:space="0" w:color="auto"/>
        <w:left w:val="none" w:sz="0" w:space="0" w:color="auto"/>
        <w:bottom w:val="none" w:sz="0" w:space="0" w:color="auto"/>
        <w:right w:val="none" w:sz="0" w:space="0" w:color="auto"/>
      </w:divBdr>
      <w:divsChild>
        <w:div w:id="129637409">
          <w:marLeft w:val="0"/>
          <w:marRight w:val="0"/>
          <w:marTop w:val="0"/>
          <w:marBottom w:val="0"/>
          <w:divBdr>
            <w:top w:val="none" w:sz="0" w:space="0" w:color="auto"/>
            <w:left w:val="none" w:sz="0" w:space="0" w:color="auto"/>
            <w:bottom w:val="none" w:sz="0" w:space="0" w:color="auto"/>
            <w:right w:val="none" w:sz="0" w:space="0" w:color="auto"/>
          </w:divBdr>
        </w:div>
      </w:divsChild>
    </w:div>
    <w:div w:id="968511700">
      <w:marLeft w:val="0"/>
      <w:marRight w:val="0"/>
      <w:marTop w:val="100"/>
      <w:marBottom w:val="0"/>
      <w:divBdr>
        <w:top w:val="none" w:sz="0" w:space="0" w:color="auto"/>
        <w:left w:val="none" w:sz="0" w:space="0" w:color="auto"/>
        <w:bottom w:val="none" w:sz="0" w:space="0" w:color="auto"/>
        <w:right w:val="none" w:sz="0" w:space="0" w:color="auto"/>
      </w:divBdr>
    </w:div>
    <w:div w:id="973215198">
      <w:marLeft w:val="0"/>
      <w:marRight w:val="0"/>
      <w:marTop w:val="60"/>
      <w:marBottom w:val="0"/>
      <w:divBdr>
        <w:top w:val="none" w:sz="0" w:space="0" w:color="auto"/>
        <w:left w:val="none" w:sz="0" w:space="0" w:color="auto"/>
        <w:bottom w:val="none" w:sz="0" w:space="0" w:color="auto"/>
        <w:right w:val="none" w:sz="0" w:space="0" w:color="auto"/>
      </w:divBdr>
    </w:div>
    <w:div w:id="977148481">
      <w:marLeft w:val="0"/>
      <w:marRight w:val="0"/>
      <w:marTop w:val="60"/>
      <w:marBottom w:val="0"/>
      <w:divBdr>
        <w:top w:val="none" w:sz="0" w:space="0" w:color="auto"/>
        <w:left w:val="none" w:sz="0" w:space="0" w:color="auto"/>
        <w:bottom w:val="none" w:sz="0" w:space="0" w:color="auto"/>
        <w:right w:val="none" w:sz="0" w:space="0" w:color="auto"/>
      </w:divBdr>
    </w:div>
    <w:div w:id="977490771">
      <w:marLeft w:val="0"/>
      <w:marRight w:val="0"/>
      <w:marTop w:val="100"/>
      <w:marBottom w:val="0"/>
      <w:divBdr>
        <w:top w:val="none" w:sz="0" w:space="0" w:color="auto"/>
        <w:left w:val="none" w:sz="0" w:space="0" w:color="auto"/>
        <w:bottom w:val="none" w:sz="0" w:space="0" w:color="auto"/>
        <w:right w:val="none" w:sz="0" w:space="0" w:color="auto"/>
      </w:divBdr>
    </w:div>
    <w:div w:id="978147366">
      <w:marLeft w:val="0"/>
      <w:marRight w:val="0"/>
      <w:marTop w:val="40"/>
      <w:marBottom w:val="0"/>
      <w:divBdr>
        <w:top w:val="none" w:sz="0" w:space="0" w:color="auto"/>
        <w:left w:val="none" w:sz="0" w:space="0" w:color="auto"/>
        <w:bottom w:val="none" w:sz="0" w:space="0" w:color="auto"/>
        <w:right w:val="none" w:sz="0" w:space="0" w:color="auto"/>
      </w:divBdr>
    </w:div>
    <w:div w:id="985165667">
      <w:marLeft w:val="0"/>
      <w:marRight w:val="0"/>
      <w:marTop w:val="100"/>
      <w:marBottom w:val="0"/>
      <w:divBdr>
        <w:top w:val="none" w:sz="0" w:space="0" w:color="auto"/>
        <w:left w:val="none" w:sz="0" w:space="0" w:color="auto"/>
        <w:bottom w:val="none" w:sz="0" w:space="0" w:color="auto"/>
        <w:right w:val="none" w:sz="0" w:space="0" w:color="auto"/>
      </w:divBdr>
    </w:div>
    <w:div w:id="986666753">
      <w:marLeft w:val="0"/>
      <w:marRight w:val="0"/>
      <w:marTop w:val="160"/>
      <w:marBottom w:val="100"/>
      <w:divBdr>
        <w:top w:val="none" w:sz="0" w:space="0" w:color="auto"/>
        <w:left w:val="none" w:sz="0" w:space="0" w:color="auto"/>
        <w:bottom w:val="none" w:sz="0" w:space="0" w:color="auto"/>
        <w:right w:val="none" w:sz="0" w:space="0" w:color="auto"/>
      </w:divBdr>
      <w:divsChild>
        <w:div w:id="1610119804">
          <w:marLeft w:val="0"/>
          <w:marRight w:val="0"/>
          <w:marTop w:val="0"/>
          <w:marBottom w:val="0"/>
          <w:divBdr>
            <w:top w:val="none" w:sz="0" w:space="0" w:color="auto"/>
            <w:left w:val="none" w:sz="0" w:space="0" w:color="auto"/>
            <w:bottom w:val="none" w:sz="0" w:space="0" w:color="auto"/>
            <w:right w:val="none" w:sz="0" w:space="0" w:color="auto"/>
          </w:divBdr>
        </w:div>
        <w:div w:id="152723015">
          <w:marLeft w:val="0"/>
          <w:marRight w:val="0"/>
          <w:marTop w:val="0"/>
          <w:marBottom w:val="0"/>
          <w:divBdr>
            <w:top w:val="none" w:sz="0" w:space="0" w:color="auto"/>
            <w:left w:val="none" w:sz="0" w:space="0" w:color="auto"/>
            <w:bottom w:val="none" w:sz="0" w:space="0" w:color="auto"/>
            <w:right w:val="none" w:sz="0" w:space="0" w:color="auto"/>
          </w:divBdr>
        </w:div>
        <w:div w:id="2118676093">
          <w:marLeft w:val="0"/>
          <w:marRight w:val="0"/>
          <w:marTop w:val="0"/>
          <w:marBottom w:val="0"/>
          <w:divBdr>
            <w:top w:val="none" w:sz="0" w:space="0" w:color="auto"/>
            <w:left w:val="none" w:sz="0" w:space="0" w:color="auto"/>
            <w:bottom w:val="none" w:sz="0" w:space="0" w:color="auto"/>
            <w:right w:val="none" w:sz="0" w:space="0" w:color="auto"/>
          </w:divBdr>
        </w:div>
        <w:div w:id="1623414441">
          <w:marLeft w:val="0"/>
          <w:marRight w:val="0"/>
          <w:marTop w:val="0"/>
          <w:marBottom w:val="0"/>
          <w:divBdr>
            <w:top w:val="none" w:sz="0" w:space="0" w:color="auto"/>
            <w:left w:val="none" w:sz="0" w:space="0" w:color="auto"/>
            <w:bottom w:val="none" w:sz="0" w:space="0" w:color="auto"/>
            <w:right w:val="none" w:sz="0" w:space="0" w:color="auto"/>
          </w:divBdr>
        </w:div>
        <w:div w:id="939485644">
          <w:marLeft w:val="0"/>
          <w:marRight w:val="0"/>
          <w:marTop w:val="0"/>
          <w:marBottom w:val="0"/>
          <w:divBdr>
            <w:top w:val="none" w:sz="0" w:space="0" w:color="auto"/>
            <w:left w:val="none" w:sz="0" w:space="0" w:color="auto"/>
            <w:bottom w:val="none" w:sz="0" w:space="0" w:color="auto"/>
            <w:right w:val="none" w:sz="0" w:space="0" w:color="auto"/>
          </w:divBdr>
        </w:div>
        <w:div w:id="1320500470">
          <w:marLeft w:val="0"/>
          <w:marRight w:val="0"/>
          <w:marTop w:val="0"/>
          <w:marBottom w:val="0"/>
          <w:divBdr>
            <w:top w:val="none" w:sz="0" w:space="0" w:color="auto"/>
            <w:left w:val="none" w:sz="0" w:space="0" w:color="auto"/>
            <w:bottom w:val="none" w:sz="0" w:space="0" w:color="auto"/>
            <w:right w:val="none" w:sz="0" w:space="0" w:color="auto"/>
          </w:divBdr>
        </w:div>
        <w:div w:id="846096430">
          <w:marLeft w:val="0"/>
          <w:marRight w:val="0"/>
          <w:marTop w:val="0"/>
          <w:marBottom w:val="0"/>
          <w:divBdr>
            <w:top w:val="none" w:sz="0" w:space="0" w:color="auto"/>
            <w:left w:val="none" w:sz="0" w:space="0" w:color="auto"/>
            <w:bottom w:val="none" w:sz="0" w:space="0" w:color="auto"/>
            <w:right w:val="none" w:sz="0" w:space="0" w:color="auto"/>
          </w:divBdr>
        </w:div>
        <w:div w:id="1161506926">
          <w:marLeft w:val="0"/>
          <w:marRight w:val="0"/>
          <w:marTop w:val="0"/>
          <w:marBottom w:val="0"/>
          <w:divBdr>
            <w:top w:val="none" w:sz="0" w:space="0" w:color="auto"/>
            <w:left w:val="none" w:sz="0" w:space="0" w:color="auto"/>
            <w:bottom w:val="none" w:sz="0" w:space="0" w:color="auto"/>
            <w:right w:val="none" w:sz="0" w:space="0" w:color="auto"/>
          </w:divBdr>
        </w:div>
      </w:divsChild>
    </w:div>
    <w:div w:id="987175086">
      <w:marLeft w:val="0"/>
      <w:marRight w:val="0"/>
      <w:marTop w:val="280"/>
      <w:marBottom w:val="0"/>
      <w:divBdr>
        <w:top w:val="none" w:sz="0" w:space="0" w:color="auto"/>
        <w:left w:val="none" w:sz="0" w:space="0" w:color="auto"/>
        <w:bottom w:val="none" w:sz="0" w:space="0" w:color="auto"/>
        <w:right w:val="none" w:sz="0" w:space="0" w:color="auto"/>
      </w:divBdr>
    </w:div>
    <w:div w:id="989870205">
      <w:marLeft w:val="0"/>
      <w:marRight w:val="0"/>
      <w:marTop w:val="40"/>
      <w:marBottom w:val="0"/>
      <w:divBdr>
        <w:top w:val="none" w:sz="0" w:space="0" w:color="auto"/>
        <w:left w:val="none" w:sz="0" w:space="0" w:color="auto"/>
        <w:bottom w:val="none" w:sz="0" w:space="0" w:color="auto"/>
        <w:right w:val="none" w:sz="0" w:space="0" w:color="auto"/>
      </w:divBdr>
    </w:div>
    <w:div w:id="992567215">
      <w:marLeft w:val="0"/>
      <w:marRight w:val="0"/>
      <w:marTop w:val="280"/>
      <w:marBottom w:val="0"/>
      <w:divBdr>
        <w:top w:val="none" w:sz="0" w:space="0" w:color="auto"/>
        <w:left w:val="none" w:sz="0" w:space="0" w:color="auto"/>
        <w:bottom w:val="none" w:sz="0" w:space="0" w:color="auto"/>
        <w:right w:val="none" w:sz="0" w:space="0" w:color="auto"/>
      </w:divBdr>
    </w:div>
    <w:div w:id="996110517">
      <w:marLeft w:val="0"/>
      <w:marRight w:val="0"/>
      <w:marTop w:val="100"/>
      <w:marBottom w:val="0"/>
      <w:divBdr>
        <w:top w:val="none" w:sz="0" w:space="0" w:color="auto"/>
        <w:left w:val="none" w:sz="0" w:space="0" w:color="auto"/>
        <w:bottom w:val="none" w:sz="0" w:space="0" w:color="auto"/>
        <w:right w:val="none" w:sz="0" w:space="0" w:color="auto"/>
      </w:divBdr>
    </w:div>
    <w:div w:id="999843513">
      <w:marLeft w:val="0"/>
      <w:marRight w:val="0"/>
      <w:marTop w:val="100"/>
      <w:marBottom w:val="0"/>
      <w:divBdr>
        <w:top w:val="none" w:sz="0" w:space="0" w:color="auto"/>
        <w:left w:val="none" w:sz="0" w:space="0" w:color="auto"/>
        <w:bottom w:val="none" w:sz="0" w:space="0" w:color="auto"/>
        <w:right w:val="none" w:sz="0" w:space="0" w:color="auto"/>
      </w:divBdr>
    </w:div>
    <w:div w:id="1007058000">
      <w:marLeft w:val="0"/>
      <w:marRight w:val="0"/>
      <w:marTop w:val="0"/>
      <w:marBottom w:val="0"/>
      <w:divBdr>
        <w:top w:val="none" w:sz="0" w:space="0" w:color="auto"/>
        <w:left w:val="none" w:sz="0" w:space="0" w:color="auto"/>
        <w:bottom w:val="none" w:sz="0" w:space="0" w:color="auto"/>
        <w:right w:val="none" w:sz="0" w:space="0" w:color="auto"/>
      </w:divBdr>
    </w:div>
    <w:div w:id="1011371441">
      <w:marLeft w:val="0"/>
      <w:marRight w:val="0"/>
      <w:marTop w:val="100"/>
      <w:marBottom w:val="0"/>
      <w:divBdr>
        <w:top w:val="none" w:sz="0" w:space="0" w:color="auto"/>
        <w:left w:val="none" w:sz="0" w:space="0" w:color="auto"/>
        <w:bottom w:val="none" w:sz="0" w:space="0" w:color="auto"/>
        <w:right w:val="none" w:sz="0" w:space="0" w:color="auto"/>
      </w:divBdr>
    </w:div>
    <w:div w:id="1011490376">
      <w:marLeft w:val="0"/>
      <w:marRight w:val="0"/>
      <w:marTop w:val="280"/>
      <w:marBottom w:val="0"/>
      <w:divBdr>
        <w:top w:val="none" w:sz="0" w:space="0" w:color="auto"/>
        <w:left w:val="none" w:sz="0" w:space="0" w:color="auto"/>
        <w:bottom w:val="none" w:sz="0" w:space="0" w:color="auto"/>
        <w:right w:val="none" w:sz="0" w:space="0" w:color="auto"/>
      </w:divBdr>
    </w:div>
    <w:div w:id="1017928896">
      <w:marLeft w:val="0"/>
      <w:marRight w:val="0"/>
      <w:marTop w:val="280"/>
      <w:marBottom w:val="0"/>
      <w:divBdr>
        <w:top w:val="none" w:sz="0" w:space="0" w:color="auto"/>
        <w:left w:val="none" w:sz="0" w:space="0" w:color="auto"/>
        <w:bottom w:val="none" w:sz="0" w:space="0" w:color="auto"/>
        <w:right w:val="none" w:sz="0" w:space="0" w:color="auto"/>
      </w:divBdr>
    </w:div>
    <w:div w:id="1019039814">
      <w:marLeft w:val="0"/>
      <w:marRight w:val="0"/>
      <w:marTop w:val="0"/>
      <w:marBottom w:val="0"/>
      <w:divBdr>
        <w:top w:val="none" w:sz="0" w:space="0" w:color="auto"/>
        <w:left w:val="none" w:sz="0" w:space="0" w:color="auto"/>
        <w:bottom w:val="none" w:sz="0" w:space="0" w:color="auto"/>
        <w:right w:val="none" w:sz="0" w:space="0" w:color="auto"/>
      </w:divBdr>
    </w:div>
    <w:div w:id="1019045976">
      <w:marLeft w:val="0"/>
      <w:marRight w:val="0"/>
      <w:marTop w:val="40"/>
      <w:marBottom w:val="0"/>
      <w:divBdr>
        <w:top w:val="none" w:sz="0" w:space="0" w:color="auto"/>
        <w:left w:val="none" w:sz="0" w:space="0" w:color="auto"/>
        <w:bottom w:val="none" w:sz="0" w:space="0" w:color="auto"/>
        <w:right w:val="none" w:sz="0" w:space="0" w:color="auto"/>
      </w:divBdr>
    </w:div>
    <w:div w:id="1021513509">
      <w:marLeft w:val="0"/>
      <w:marRight w:val="0"/>
      <w:marTop w:val="280"/>
      <w:marBottom w:val="0"/>
      <w:divBdr>
        <w:top w:val="none" w:sz="0" w:space="0" w:color="auto"/>
        <w:left w:val="none" w:sz="0" w:space="0" w:color="auto"/>
        <w:bottom w:val="none" w:sz="0" w:space="0" w:color="auto"/>
        <w:right w:val="none" w:sz="0" w:space="0" w:color="auto"/>
      </w:divBdr>
    </w:div>
    <w:div w:id="1022437667">
      <w:marLeft w:val="0"/>
      <w:marRight w:val="0"/>
      <w:marTop w:val="0"/>
      <w:marBottom w:val="0"/>
      <w:divBdr>
        <w:top w:val="none" w:sz="0" w:space="0" w:color="auto"/>
        <w:left w:val="none" w:sz="0" w:space="0" w:color="auto"/>
        <w:bottom w:val="none" w:sz="0" w:space="0" w:color="auto"/>
        <w:right w:val="none" w:sz="0" w:space="0" w:color="auto"/>
      </w:divBdr>
    </w:div>
    <w:div w:id="1028530676">
      <w:marLeft w:val="0"/>
      <w:marRight w:val="0"/>
      <w:marTop w:val="0"/>
      <w:marBottom w:val="0"/>
      <w:divBdr>
        <w:top w:val="none" w:sz="0" w:space="0" w:color="auto"/>
        <w:left w:val="none" w:sz="0" w:space="0" w:color="auto"/>
        <w:bottom w:val="none" w:sz="0" w:space="0" w:color="auto"/>
        <w:right w:val="none" w:sz="0" w:space="0" w:color="auto"/>
      </w:divBdr>
      <w:divsChild>
        <w:div w:id="1767967686">
          <w:marLeft w:val="0"/>
          <w:marRight w:val="0"/>
          <w:marTop w:val="0"/>
          <w:marBottom w:val="0"/>
          <w:divBdr>
            <w:top w:val="none" w:sz="0" w:space="0" w:color="auto"/>
            <w:left w:val="none" w:sz="0" w:space="0" w:color="auto"/>
            <w:bottom w:val="none" w:sz="0" w:space="0" w:color="auto"/>
            <w:right w:val="none" w:sz="0" w:space="0" w:color="auto"/>
          </w:divBdr>
        </w:div>
      </w:divsChild>
    </w:div>
    <w:div w:id="1033076631">
      <w:marLeft w:val="0"/>
      <w:marRight w:val="0"/>
      <w:marTop w:val="100"/>
      <w:marBottom w:val="0"/>
      <w:divBdr>
        <w:top w:val="none" w:sz="0" w:space="0" w:color="auto"/>
        <w:left w:val="none" w:sz="0" w:space="0" w:color="auto"/>
        <w:bottom w:val="none" w:sz="0" w:space="0" w:color="auto"/>
        <w:right w:val="none" w:sz="0" w:space="0" w:color="auto"/>
      </w:divBdr>
    </w:div>
    <w:div w:id="1033338497">
      <w:marLeft w:val="0"/>
      <w:marRight w:val="0"/>
      <w:marTop w:val="100"/>
      <w:marBottom w:val="0"/>
      <w:divBdr>
        <w:top w:val="none" w:sz="0" w:space="0" w:color="auto"/>
        <w:left w:val="none" w:sz="0" w:space="0" w:color="auto"/>
        <w:bottom w:val="none" w:sz="0" w:space="0" w:color="auto"/>
        <w:right w:val="none" w:sz="0" w:space="0" w:color="auto"/>
      </w:divBdr>
    </w:div>
    <w:div w:id="1044137624">
      <w:marLeft w:val="0"/>
      <w:marRight w:val="0"/>
      <w:marTop w:val="100"/>
      <w:marBottom w:val="0"/>
      <w:divBdr>
        <w:top w:val="none" w:sz="0" w:space="0" w:color="auto"/>
        <w:left w:val="none" w:sz="0" w:space="0" w:color="auto"/>
        <w:bottom w:val="none" w:sz="0" w:space="0" w:color="auto"/>
        <w:right w:val="none" w:sz="0" w:space="0" w:color="auto"/>
      </w:divBdr>
    </w:div>
    <w:div w:id="1044985298">
      <w:marLeft w:val="0"/>
      <w:marRight w:val="0"/>
      <w:marTop w:val="100"/>
      <w:marBottom w:val="0"/>
      <w:divBdr>
        <w:top w:val="none" w:sz="0" w:space="0" w:color="auto"/>
        <w:left w:val="none" w:sz="0" w:space="0" w:color="auto"/>
        <w:bottom w:val="none" w:sz="0" w:space="0" w:color="auto"/>
        <w:right w:val="none" w:sz="0" w:space="0" w:color="auto"/>
      </w:divBdr>
    </w:div>
    <w:div w:id="1047605985">
      <w:marLeft w:val="0"/>
      <w:marRight w:val="0"/>
      <w:marTop w:val="100"/>
      <w:marBottom w:val="0"/>
      <w:divBdr>
        <w:top w:val="none" w:sz="0" w:space="0" w:color="auto"/>
        <w:left w:val="none" w:sz="0" w:space="0" w:color="auto"/>
        <w:bottom w:val="none" w:sz="0" w:space="0" w:color="auto"/>
        <w:right w:val="none" w:sz="0" w:space="0" w:color="auto"/>
      </w:divBdr>
    </w:div>
    <w:div w:id="1051004364">
      <w:marLeft w:val="0"/>
      <w:marRight w:val="0"/>
      <w:marTop w:val="100"/>
      <w:marBottom w:val="0"/>
      <w:divBdr>
        <w:top w:val="none" w:sz="0" w:space="0" w:color="auto"/>
        <w:left w:val="none" w:sz="0" w:space="0" w:color="auto"/>
        <w:bottom w:val="none" w:sz="0" w:space="0" w:color="auto"/>
        <w:right w:val="none" w:sz="0" w:space="0" w:color="auto"/>
      </w:divBdr>
    </w:div>
    <w:div w:id="1072896937">
      <w:marLeft w:val="0"/>
      <w:marRight w:val="0"/>
      <w:marTop w:val="40"/>
      <w:marBottom w:val="0"/>
      <w:divBdr>
        <w:top w:val="none" w:sz="0" w:space="0" w:color="auto"/>
        <w:left w:val="none" w:sz="0" w:space="0" w:color="auto"/>
        <w:bottom w:val="none" w:sz="0" w:space="0" w:color="auto"/>
        <w:right w:val="none" w:sz="0" w:space="0" w:color="auto"/>
      </w:divBdr>
    </w:div>
    <w:div w:id="1099066054">
      <w:marLeft w:val="0"/>
      <w:marRight w:val="0"/>
      <w:marTop w:val="100"/>
      <w:marBottom w:val="0"/>
      <w:divBdr>
        <w:top w:val="none" w:sz="0" w:space="0" w:color="auto"/>
        <w:left w:val="none" w:sz="0" w:space="0" w:color="auto"/>
        <w:bottom w:val="none" w:sz="0" w:space="0" w:color="auto"/>
        <w:right w:val="none" w:sz="0" w:space="0" w:color="auto"/>
      </w:divBdr>
    </w:div>
    <w:div w:id="1108890346">
      <w:marLeft w:val="0"/>
      <w:marRight w:val="0"/>
      <w:marTop w:val="40"/>
      <w:marBottom w:val="0"/>
      <w:divBdr>
        <w:top w:val="none" w:sz="0" w:space="0" w:color="auto"/>
        <w:left w:val="none" w:sz="0" w:space="0" w:color="auto"/>
        <w:bottom w:val="none" w:sz="0" w:space="0" w:color="auto"/>
        <w:right w:val="none" w:sz="0" w:space="0" w:color="auto"/>
      </w:divBdr>
    </w:div>
    <w:div w:id="1115058402">
      <w:marLeft w:val="0"/>
      <w:marRight w:val="0"/>
      <w:marTop w:val="60"/>
      <w:marBottom w:val="0"/>
      <w:divBdr>
        <w:top w:val="none" w:sz="0" w:space="0" w:color="auto"/>
        <w:left w:val="none" w:sz="0" w:space="0" w:color="auto"/>
        <w:bottom w:val="none" w:sz="0" w:space="0" w:color="auto"/>
        <w:right w:val="none" w:sz="0" w:space="0" w:color="auto"/>
      </w:divBdr>
    </w:div>
    <w:div w:id="1121146874">
      <w:marLeft w:val="0"/>
      <w:marRight w:val="0"/>
      <w:marTop w:val="280"/>
      <w:marBottom w:val="0"/>
      <w:divBdr>
        <w:top w:val="none" w:sz="0" w:space="0" w:color="auto"/>
        <w:left w:val="none" w:sz="0" w:space="0" w:color="auto"/>
        <w:bottom w:val="none" w:sz="0" w:space="0" w:color="auto"/>
        <w:right w:val="none" w:sz="0" w:space="0" w:color="auto"/>
      </w:divBdr>
    </w:div>
    <w:div w:id="1122847247">
      <w:marLeft w:val="0"/>
      <w:marRight w:val="0"/>
      <w:marTop w:val="100"/>
      <w:marBottom w:val="0"/>
      <w:divBdr>
        <w:top w:val="none" w:sz="0" w:space="0" w:color="auto"/>
        <w:left w:val="none" w:sz="0" w:space="0" w:color="auto"/>
        <w:bottom w:val="none" w:sz="0" w:space="0" w:color="auto"/>
        <w:right w:val="none" w:sz="0" w:space="0" w:color="auto"/>
      </w:divBdr>
    </w:div>
    <w:div w:id="1125735467">
      <w:marLeft w:val="0"/>
      <w:marRight w:val="0"/>
      <w:marTop w:val="100"/>
      <w:marBottom w:val="0"/>
      <w:divBdr>
        <w:top w:val="none" w:sz="0" w:space="0" w:color="auto"/>
        <w:left w:val="none" w:sz="0" w:space="0" w:color="auto"/>
        <w:bottom w:val="none" w:sz="0" w:space="0" w:color="auto"/>
        <w:right w:val="none" w:sz="0" w:space="0" w:color="auto"/>
      </w:divBdr>
    </w:div>
    <w:div w:id="1126389273">
      <w:marLeft w:val="0"/>
      <w:marRight w:val="0"/>
      <w:marTop w:val="280"/>
      <w:marBottom w:val="0"/>
      <w:divBdr>
        <w:top w:val="none" w:sz="0" w:space="0" w:color="auto"/>
        <w:left w:val="none" w:sz="0" w:space="0" w:color="auto"/>
        <w:bottom w:val="none" w:sz="0" w:space="0" w:color="auto"/>
        <w:right w:val="none" w:sz="0" w:space="0" w:color="auto"/>
      </w:divBdr>
    </w:div>
    <w:div w:id="1127898191">
      <w:marLeft w:val="0"/>
      <w:marRight w:val="0"/>
      <w:marTop w:val="100"/>
      <w:marBottom w:val="0"/>
      <w:divBdr>
        <w:top w:val="none" w:sz="0" w:space="0" w:color="auto"/>
        <w:left w:val="none" w:sz="0" w:space="0" w:color="auto"/>
        <w:bottom w:val="none" w:sz="0" w:space="0" w:color="auto"/>
        <w:right w:val="none" w:sz="0" w:space="0" w:color="auto"/>
      </w:divBdr>
    </w:div>
    <w:div w:id="1128278621">
      <w:marLeft w:val="0"/>
      <w:marRight w:val="0"/>
      <w:marTop w:val="100"/>
      <w:marBottom w:val="0"/>
      <w:divBdr>
        <w:top w:val="none" w:sz="0" w:space="0" w:color="auto"/>
        <w:left w:val="none" w:sz="0" w:space="0" w:color="auto"/>
        <w:bottom w:val="none" w:sz="0" w:space="0" w:color="auto"/>
        <w:right w:val="none" w:sz="0" w:space="0" w:color="auto"/>
      </w:divBdr>
    </w:div>
    <w:div w:id="1131902062">
      <w:marLeft w:val="0"/>
      <w:marRight w:val="0"/>
      <w:marTop w:val="40"/>
      <w:marBottom w:val="0"/>
      <w:divBdr>
        <w:top w:val="none" w:sz="0" w:space="0" w:color="auto"/>
        <w:left w:val="none" w:sz="0" w:space="0" w:color="auto"/>
        <w:bottom w:val="none" w:sz="0" w:space="0" w:color="auto"/>
        <w:right w:val="none" w:sz="0" w:space="0" w:color="auto"/>
      </w:divBdr>
    </w:div>
    <w:div w:id="1132014147">
      <w:marLeft w:val="0"/>
      <w:marRight w:val="0"/>
      <w:marTop w:val="100"/>
      <w:marBottom w:val="0"/>
      <w:divBdr>
        <w:top w:val="none" w:sz="0" w:space="0" w:color="auto"/>
        <w:left w:val="none" w:sz="0" w:space="0" w:color="auto"/>
        <w:bottom w:val="none" w:sz="0" w:space="0" w:color="auto"/>
        <w:right w:val="none" w:sz="0" w:space="0" w:color="auto"/>
      </w:divBdr>
    </w:div>
    <w:div w:id="1132558672">
      <w:marLeft w:val="0"/>
      <w:marRight w:val="0"/>
      <w:marTop w:val="100"/>
      <w:marBottom w:val="0"/>
      <w:divBdr>
        <w:top w:val="none" w:sz="0" w:space="0" w:color="auto"/>
        <w:left w:val="none" w:sz="0" w:space="0" w:color="auto"/>
        <w:bottom w:val="none" w:sz="0" w:space="0" w:color="auto"/>
        <w:right w:val="none" w:sz="0" w:space="0" w:color="auto"/>
      </w:divBdr>
    </w:div>
    <w:div w:id="1135441391">
      <w:marLeft w:val="0"/>
      <w:marRight w:val="0"/>
      <w:marTop w:val="100"/>
      <w:marBottom w:val="0"/>
      <w:divBdr>
        <w:top w:val="none" w:sz="0" w:space="0" w:color="auto"/>
        <w:left w:val="none" w:sz="0" w:space="0" w:color="auto"/>
        <w:bottom w:val="none" w:sz="0" w:space="0" w:color="auto"/>
        <w:right w:val="none" w:sz="0" w:space="0" w:color="auto"/>
      </w:divBdr>
    </w:div>
    <w:div w:id="1146245218">
      <w:marLeft w:val="0"/>
      <w:marRight w:val="0"/>
      <w:marTop w:val="100"/>
      <w:marBottom w:val="0"/>
      <w:divBdr>
        <w:top w:val="none" w:sz="0" w:space="0" w:color="auto"/>
        <w:left w:val="none" w:sz="0" w:space="0" w:color="auto"/>
        <w:bottom w:val="none" w:sz="0" w:space="0" w:color="auto"/>
        <w:right w:val="none" w:sz="0" w:space="0" w:color="auto"/>
      </w:divBdr>
    </w:div>
    <w:div w:id="1146893160">
      <w:marLeft w:val="0"/>
      <w:marRight w:val="0"/>
      <w:marTop w:val="280"/>
      <w:marBottom w:val="0"/>
      <w:divBdr>
        <w:top w:val="none" w:sz="0" w:space="0" w:color="auto"/>
        <w:left w:val="none" w:sz="0" w:space="0" w:color="auto"/>
        <w:bottom w:val="none" w:sz="0" w:space="0" w:color="auto"/>
        <w:right w:val="none" w:sz="0" w:space="0" w:color="auto"/>
      </w:divBdr>
    </w:div>
    <w:div w:id="1159269116">
      <w:marLeft w:val="0"/>
      <w:marRight w:val="0"/>
      <w:marTop w:val="100"/>
      <w:marBottom w:val="0"/>
      <w:divBdr>
        <w:top w:val="none" w:sz="0" w:space="0" w:color="auto"/>
        <w:left w:val="none" w:sz="0" w:space="0" w:color="auto"/>
        <w:bottom w:val="none" w:sz="0" w:space="0" w:color="auto"/>
        <w:right w:val="none" w:sz="0" w:space="0" w:color="auto"/>
      </w:divBdr>
    </w:div>
    <w:div w:id="1165970790">
      <w:marLeft w:val="0"/>
      <w:marRight w:val="0"/>
      <w:marTop w:val="0"/>
      <w:marBottom w:val="0"/>
      <w:divBdr>
        <w:top w:val="none" w:sz="0" w:space="0" w:color="auto"/>
        <w:left w:val="none" w:sz="0" w:space="0" w:color="auto"/>
        <w:bottom w:val="none" w:sz="0" w:space="0" w:color="auto"/>
        <w:right w:val="none" w:sz="0" w:space="0" w:color="auto"/>
      </w:divBdr>
      <w:divsChild>
        <w:div w:id="1416514267">
          <w:marLeft w:val="0"/>
          <w:marRight w:val="0"/>
          <w:marTop w:val="0"/>
          <w:marBottom w:val="0"/>
          <w:divBdr>
            <w:top w:val="none" w:sz="0" w:space="0" w:color="auto"/>
            <w:left w:val="none" w:sz="0" w:space="0" w:color="auto"/>
            <w:bottom w:val="none" w:sz="0" w:space="0" w:color="auto"/>
            <w:right w:val="none" w:sz="0" w:space="0" w:color="auto"/>
          </w:divBdr>
        </w:div>
      </w:divsChild>
    </w:div>
    <w:div w:id="1168399956">
      <w:marLeft w:val="0"/>
      <w:marRight w:val="0"/>
      <w:marTop w:val="100"/>
      <w:marBottom w:val="0"/>
      <w:divBdr>
        <w:top w:val="none" w:sz="0" w:space="0" w:color="auto"/>
        <w:left w:val="none" w:sz="0" w:space="0" w:color="auto"/>
        <w:bottom w:val="none" w:sz="0" w:space="0" w:color="auto"/>
        <w:right w:val="none" w:sz="0" w:space="0" w:color="auto"/>
      </w:divBdr>
    </w:div>
    <w:div w:id="1172719370">
      <w:marLeft w:val="0"/>
      <w:marRight w:val="0"/>
      <w:marTop w:val="280"/>
      <w:marBottom w:val="0"/>
      <w:divBdr>
        <w:top w:val="none" w:sz="0" w:space="0" w:color="auto"/>
        <w:left w:val="none" w:sz="0" w:space="0" w:color="auto"/>
        <w:bottom w:val="none" w:sz="0" w:space="0" w:color="auto"/>
        <w:right w:val="none" w:sz="0" w:space="0" w:color="auto"/>
      </w:divBdr>
    </w:div>
    <w:div w:id="1184857119">
      <w:marLeft w:val="0"/>
      <w:marRight w:val="0"/>
      <w:marTop w:val="280"/>
      <w:marBottom w:val="0"/>
      <w:divBdr>
        <w:top w:val="none" w:sz="0" w:space="0" w:color="auto"/>
        <w:left w:val="none" w:sz="0" w:space="0" w:color="auto"/>
        <w:bottom w:val="none" w:sz="0" w:space="0" w:color="auto"/>
        <w:right w:val="none" w:sz="0" w:space="0" w:color="auto"/>
      </w:divBdr>
    </w:div>
    <w:div w:id="1187599786">
      <w:marLeft w:val="0"/>
      <w:marRight w:val="0"/>
      <w:marTop w:val="100"/>
      <w:marBottom w:val="0"/>
      <w:divBdr>
        <w:top w:val="none" w:sz="0" w:space="0" w:color="auto"/>
        <w:left w:val="none" w:sz="0" w:space="0" w:color="auto"/>
        <w:bottom w:val="none" w:sz="0" w:space="0" w:color="auto"/>
        <w:right w:val="none" w:sz="0" w:space="0" w:color="auto"/>
      </w:divBdr>
    </w:div>
    <w:div w:id="1189444472">
      <w:marLeft w:val="0"/>
      <w:marRight w:val="0"/>
      <w:marTop w:val="100"/>
      <w:marBottom w:val="0"/>
      <w:divBdr>
        <w:top w:val="none" w:sz="0" w:space="0" w:color="auto"/>
        <w:left w:val="none" w:sz="0" w:space="0" w:color="auto"/>
        <w:bottom w:val="none" w:sz="0" w:space="0" w:color="auto"/>
        <w:right w:val="none" w:sz="0" w:space="0" w:color="auto"/>
      </w:divBdr>
    </w:div>
    <w:div w:id="1189872778">
      <w:marLeft w:val="0"/>
      <w:marRight w:val="0"/>
      <w:marTop w:val="100"/>
      <w:marBottom w:val="0"/>
      <w:divBdr>
        <w:top w:val="none" w:sz="0" w:space="0" w:color="auto"/>
        <w:left w:val="none" w:sz="0" w:space="0" w:color="auto"/>
        <w:bottom w:val="none" w:sz="0" w:space="0" w:color="auto"/>
        <w:right w:val="none" w:sz="0" w:space="0" w:color="auto"/>
      </w:divBdr>
    </w:div>
    <w:div w:id="1199391701">
      <w:marLeft w:val="0"/>
      <w:marRight w:val="0"/>
      <w:marTop w:val="100"/>
      <w:marBottom w:val="0"/>
      <w:divBdr>
        <w:top w:val="none" w:sz="0" w:space="0" w:color="auto"/>
        <w:left w:val="none" w:sz="0" w:space="0" w:color="auto"/>
        <w:bottom w:val="none" w:sz="0" w:space="0" w:color="auto"/>
        <w:right w:val="none" w:sz="0" w:space="0" w:color="auto"/>
      </w:divBdr>
    </w:div>
    <w:div w:id="1199661861">
      <w:marLeft w:val="0"/>
      <w:marRight w:val="0"/>
      <w:marTop w:val="280"/>
      <w:marBottom w:val="0"/>
      <w:divBdr>
        <w:top w:val="none" w:sz="0" w:space="0" w:color="auto"/>
        <w:left w:val="none" w:sz="0" w:space="0" w:color="auto"/>
        <w:bottom w:val="none" w:sz="0" w:space="0" w:color="auto"/>
        <w:right w:val="none" w:sz="0" w:space="0" w:color="auto"/>
      </w:divBdr>
    </w:div>
    <w:div w:id="1202742852">
      <w:marLeft w:val="0"/>
      <w:marRight w:val="0"/>
      <w:marTop w:val="2500"/>
      <w:marBottom w:val="0"/>
      <w:divBdr>
        <w:top w:val="none" w:sz="0" w:space="0" w:color="auto"/>
        <w:left w:val="none" w:sz="0" w:space="0" w:color="auto"/>
        <w:bottom w:val="none" w:sz="0" w:space="0" w:color="auto"/>
        <w:right w:val="none" w:sz="0" w:space="0" w:color="auto"/>
      </w:divBdr>
    </w:div>
    <w:div w:id="1203639916">
      <w:marLeft w:val="0"/>
      <w:marRight w:val="0"/>
      <w:marTop w:val="100"/>
      <w:marBottom w:val="0"/>
      <w:divBdr>
        <w:top w:val="none" w:sz="0" w:space="0" w:color="auto"/>
        <w:left w:val="none" w:sz="0" w:space="0" w:color="auto"/>
        <w:bottom w:val="none" w:sz="0" w:space="0" w:color="auto"/>
        <w:right w:val="none" w:sz="0" w:space="0" w:color="auto"/>
      </w:divBdr>
    </w:div>
    <w:div w:id="1213537080">
      <w:marLeft w:val="0"/>
      <w:marRight w:val="0"/>
      <w:marTop w:val="280"/>
      <w:marBottom w:val="0"/>
      <w:divBdr>
        <w:top w:val="none" w:sz="0" w:space="0" w:color="auto"/>
        <w:left w:val="none" w:sz="0" w:space="0" w:color="auto"/>
        <w:bottom w:val="none" w:sz="0" w:space="0" w:color="auto"/>
        <w:right w:val="none" w:sz="0" w:space="0" w:color="auto"/>
      </w:divBdr>
    </w:div>
    <w:div w:id="1216742661">
      <w:marLeft w:val="0"/>
      <w:marRight w:val="0"/>
      <w:marTop w:val="100"/>
      <w:marBottom w:val="100"/>
      <w:divBdr>
        <w:top w:val="none" w:sz="0" w:space="0" w:color="auto"/>
        <w:left w:val="none" w:sz="0" w:space="0" w:color="auto"/>
        <w:bottom w:val="none" w:sz="0" w:space="0" w:color="auto"/>
        <w:right w:val="none" w:sz="0" w:space="0" w:color="auto"/>
      </w:divBdr>
    </w:div>
    <w:div w:id="1217275812">
      <w:marLeft w:val="0"/>
      <w:marRight w:val="0"/>
      <w:marTop w:val="40"/>
      <w:marBottom w:val="0"/>
      <w:divBdr>
        <w:top w:val="none" w:sz="0" w:space="0" w:color="auto"/>
        <w:left w:val="none" w:sz="0" w:space="0" w:color="auto"/>
        <w:bottom w:val="none" w:sz="0" w:space="0" w:color="auto"/>
        <w:right w:val="none" w:sz="0" w:space="0" w:color="auto"/>
      </w:divBdr>
    </w:div>
    <w:div w:id="1218856464">
      <w:marLeft w:val="0"/>
      <w:marRight w:val="0"/>
      <w:marTop w:val="100"/>
      <w:marBottom w:val="0"/>
      <w:divBdr>
        <w:top w:val="none" w:sz="0" w:space="0" w:color="auto"/>
        <w:left w:val="none" w:sz="0" w:space="0" w:color="auto"/>
        <w:bottom w:val="none" w:sz="0" w:space="0" w:color="auto"/>
        <w:right w:val="none" w:sz="0" w:space="0" w:color="auto"/>
      </w:divBdr>
    </w:div>
    <w:div w:id="1220092920">
      <w:marLeft w:val="0"/>
      <w:marRight w:val="0"/>
      <w:marTop w:val="40"/>
      <w:marBottom w:val="0"/>
      <w:divBdr>
        <w:top w:val="none" w:sz="0" w:space="0" w:color="auto"/>
        <w:left w:val="none" w:sz="0" w:space="0" w:color="auto"/>
        <w:bottom w:val="none" w:sz="0" w:space="0" w:color="auto"/>
        <w:right w:val="none" w:sz="0" w:space="0" w:color="auto"/>
      </w:divBdr>
    </w:div>
    <w:div w:id="1222792194">
      <w:marLeft w:val="0"/>
      <w:marRight w:val="0"/>
      <w:marTop w:val="100"/>
      <w:marBottom w:val="0"/>
      <w:divBdr>
        <w:top w:val="none" w:sz="0" w:space="0" w:color="auto"/>
        <w:left w:val="none" w:sz="0" w:space="0" w:color="auto"/>
        <w:bottom w:val="none" w:sz="0" w:space="0" w:color="auto"/>
        <w:right w:val="none" w:sz="0" w:space="0" w:color="auto"/>
      </w:divBdr>
    </w:div>
    <w:div w:id="1225676040">
      <w:marLeft w:val="0"/>
      <w:marRight w:val="0"/>
      <w:marTop w:val="280"/>
      <w:marBottom w:val="0"/>
      <w:divBdr>
        <w:top w:val="none" w:sz="0" w:space="0" w:color="auto"/>
        <w:left w:val="none" w:sz="0" w:space="0" w:color="auto"/>
        <w:bottom w:val="none" w:sz="0" w:space="0" w:color="auto"/>
        <w:right w:val="none" w:sz="0" w:space="0" w:color="auto"/>
      </w:divBdr>
    </w:div>
    <w:div w:id="1232932060">
      <w:marLeft w:val="0"/>
      <w:marRight w:val="0"/>
      <w:marTop w:val="60"/>
      <w:marBottom w:val="0"/>
      <w:divBdr>
        <w:top w:val="none" w:sz="0" w:space="0" w:color="auto"/>
        <w:left w:val="none" w:sz="0" w:space="0" w:color="auto"/>
        <w:bottom w:val="none" w:sz="0" w:space="0" w:color="auto"/>
        <w:right w:val="none" w:sz="0" w:space="0" w:color="auto"/>
      </w:divBdr>
    </w:div>
    <w:div w:id="1233001205">
      <w:marLeft w:val="0"/>
      <w:marRight w:val="0"/>
      <w:marTop w:val="100"/>
      <w:marBottom w:val="0"/>
      <w:divBdr>
        <w:top w:val="none" w:sz="0" w:space="0" w:color="auto"/>
        <w:left w:val="none" w:sz="0" w:space="0" w:color="auto"/>
        <w:bottom w:val="none" w:sz="0" w:space="0" w:color="auto"/>
        <w:right w:val="none" w:sz="0" w:space="0" w:color="auto"/>
      </w:divBdr>
    </w:div>
    <w:div w:id="1234465933">
      <w:marLeft w:val="0"/>
      <w:marRight w:val="0"/>
      <w:marTop w:val="0"/>
      <w:marBottom w:val="0"/>
      <w:divBdr>
        <w:top w:val="none" w:sz="0" w:space="0" w:color="auto"/>
        <w:left w:val="none" w:sz="0" w:space="0" w:color="auto"/>
        <w:bottom w:val="none" w:sz="0" w:space="0" w:color="auto"/>
        <w:right w:val="none" w:sz="0" w:space="0" w:color="auto"/>
      </w:divBdr>
    </w:div>
    <w:div w:id="1249266369">
      <w:marLeft w:val="0"/>
      <w:marRight w:val="0"/>
      <w:marTop w:val="280"/>
      <w:marBottom w:val="0"/>
      <w:divBdr>
        <w:top w:val="none" w:sz="0" w:space="0" w:color="auto"/>
        <w:left w:val="none" w:sz="0" w:space="0" w:color="auto"/>
        <w:bottom w:val="none" w:sz="0" w:space="0" w:color="auto"/>
        <w:right w:val="none" w:sz="0" w:space="0" w:color="auto"/>
      </w:divBdr>
    </w:div>
    <w:div w:id="1262881461">
      <w:marLeft w:val="0"/>
      <w:marRight w:val="0"/>
      <w:marTop w:val="100"/>
      <w:marBottom w:val="0"/>
      <w:divBdr>
        <w:top w:val="none" w:sz="0" w:space="0" w:color="auto"/>
        <w:left w:val="none" w:sz="0" w:space="0" w:color="auto"/>
        <w:bottom w:val="none" w:sz="0" w:space="0" w:color="auto"/>
        <w:right w:val="none" w:sz="0" w:space="0" w:color="auto"/>
      </w:divBdr>
    </w:div>
    <w:div w:id="1269047963">
      <w:marLeft w:val="0"/>
      <w:marRight w:val="0"/>
      <w:marTop w:val="100"/>
      <w:marBottom w:val="0"/>
      <w:divBdr>
        <w:top w:val="none" w:sz="0" w:space="0" w:color="auto"/>
        <w:left w:val="none" w:sz="0" w:space="0" w:color="auto"/>
        <w:bottom w:val="none" w:sz="0" w:space="0" w:color="auto"/>
        <w:right w:val="none" w:sz="0" w:space="0" w:color="auto"/>
      </w:divBdr>
      <w:divsChild>
        <w:div w:id="2042246294">
          <w:marLeft w:val="0"/>
          <w:marRight w:val="0"/>
          <w:marTop w:val="0"/>
          <w:marBottom w:val="0"/>
          <w:divBdr>
            <w:top w:val="none" w:sz="0" w:space="0" w:color="auto"/>
            <w:left w:val="none" w:sz="0" w:space="0" w:color="auto"/>
            <w:bottom w:val="none" w:sz="0" w:space="0" w:color="auto"/>
            <w:right w:val="none" w:sz="0" w:space="0" w:color="auto"/>
          </w:divBdr>
        </w:div>
        <w:div w:id="2022394155">
          <w:marLeft w:val="0"/>
          <w:marRight w:val="0"/>
          <w:marTop w:val="0"/>
          <w:marBottom w:val="0"/>
          <w:divBdr>
            <w:top w:val="none" w:sz="0" w:space="0" w:color="auto"/>
            <w:left w:val="none" w:sz="0" w:space="0" w:color="auto"/>
            <w:bottom w:val="none" w:sz="0" w:space="0" w:color="auto"/>
            <w:right w:val="none" w:sz="0" w:space="0" w:color="auto"/>
          </w:divBdr>
        </w:div>
        <w:div w:id="628122192">
          <w:marLeft w:val="0"/>
          <w:marRight w:val="0"/>
          <w:marTop w:val="0"/>
          <w:marBottom w:val="0"/>
          <w:divBdr>
            <w:top w:val="none" w:sz="0" w:space="0" w:color="auto"/>
            <w:left w:val="none" w:sz="0" w:space="0" w:color="auto"/>
            <w:bottom w:val="none" w:sz="0" w:space="0" w:color="auto"/>
            <w:right w:val="none" w:sz="0" w:space="0" w:color="auto"/>
          </w:divBdr>
        </w:div>
        <w:div w:id="818767992">
          <w:marLeft w:val="0"/>
          <w:marRight w:val="0"/>
          <w:marTop w:val="0"/>
          <w:marBottom w:val="0"/>
          <w:divBdr>
            <w:top w:val="none" w:sz="0" w:space="0" w:color="auto"/>
            <w:left w:val="none" w:sz="0" w:space="0" w:color="auto"/>
            <w:bottom w:val="none" w:sz="0" w:space="0" w:color="auto"/>
            <w:right w:val="none" w:sz="0" w:space="0" w:color="auto"/>
          </w:divBdr>
        </w:div>
        <w:div w:id="1674792716">
          <w:marLeft w:val="0"/>
          <w:marRight w:val="0"/>
          <w:marTop w:val="0"/>
          <w:marBottom w:val="0"/>
          <w:divBdr>
            <w:top w:val="none" w:sz="0" w:space="0" w:color="auto"/>
            <w:left w:val="none" w:sz="0" w:space="0" w:color="auto"/>
            <w:bottom w:val="none" w:sz="0" w:space="0" w:color="auto"/>
            <w:right w:val="none" w:sz="0" w:space="0" w:color="auto"/>
          </w:divBdr>
        </w:div>
        <w:div w:id="814951847">
          <w:marLeft w:val="0"/>
          <w:marRight w:val="0"/>
          <w:marTop w:val="0"/>
          <w:marBottom w:val="0"/>
          <w:divBdr>
            <w:top w:val="none" w:sz="0" w:space="0" w:color="auto"/>
            <w:left w:val="none" w:sz="0" w:space="0" w:color="auto"/>
            <w:bottom w:val="none" w:sz="0" w:space="0" w:color="auto"/>
            <w:right w:val="none" w:sz="0" w:space="0" w:color="auto"/>
          </w:divBdr>
        </w:div>
      </w:divsChild>
    </w:div>
    <w:div w:id="1272012395">
      <w:marLeft w:val="0"/>
      <w:marRight w:val="0"/>
      <w:marTop w:val="280"/>
      <w:marBottom w:val="0"/>
      <w:divBdr>
        <w:top w:val="none" w:sz="0" w:space="0" w:color="auto"/>
        <w:left w:val="none" w:sz="0" w:space="0" w:color="auto"/>
        <w:bottom w:val="none" w:sz="0" w:space="0" w:color="auto"/>
        <w:right w:val="none" w:sz="0" w:space="0" w:color="auto"/>
      </w:divBdr>
    </w:div>
    <w:div w:id="1276794735">
      <w:marLeft w:val="0"/>
      <w:marRight w:val="0"/>
      <w:marTop w:val="40"/>
      <w:marBottom w:val="0"/>
      <w:divBdr>
        <w:top w:val="none" w:sz="0" w:space="0" w:color="auto"/>
        <w:left w:val="none" w:sz="0" w:space="0" w:color="auto"/>
        <w:bottom w:val="none" w:sz="0" w:space="0" w:color="auto"/>
        <w:right w:val="none" w:sz="0" w:space="0" w:color="auto"/>
      </w:divBdr>
    </w:div>
    <w:div w:id="1277251904">
      <w:marLeft w:val="0"/>
      <w:marRight w:val="0"/>
      <w:marTop w:val="120"/>
      <w:marBottom w:val="0"/>
      <w:divBdr>
        <w:top w:val="none" w:sz="0" w:space="0" w:color="auto"/>
        <w:left w:val="none" w:sz="0" w:space="0" w:color="auto"/>
        <w:bottom w:val="none" w:sz="0" w:space="0" w:color="auto"/>
        <w:right w:val="none" w:sz="0" w:space="0" w:color="auto"/>
      </w:divBdr>
    </w:div>
    <w:div w:id="1277561251">
      <w:marLeft w:val="0"/>
      <w:marRight w:val="0"/>
      <w:marTop w:val="40"/>
      <w:marBottom w:val="0"/>
      <w:divBdr>
        <w:top w:val="none" w:sz="0" w:space="0" w:color="auto"/>
        <w:left w:val="none" w:sz="0" w:space="0" w:color="auto"/>
        <w:bottom w:val="none" w:sz="0" w:space="0" w:color="auto"/>
        <w:right w:val="none" w:sz="0" w:space="0" w:color="auto"/>
      </w:divBdr>
    </w:div>
    <w:div w:id="1282347897">
      <w:marLeft w:val="0"/>
      <w:marRight w:val="0"/>
      <w:marTop w:val="100"/>
      <w:marBottom w:val="160"/>
      <w:divBdr>
        <w:top w:val="none" w:sz="0" w:space="0" w:color="auto"/>
        <w:left w:val="none" w:sz="0" w:space="0" w:color="auto"/>
        <w:bottom w:val="none" w:sz="0" w:space="0" w:color="auto"/>
        <w:right w:val="none" w:sz="0" w:space="0" w:color="auto"/>
      </w:divBdr>
      <w:divsChild>
        <w:div w:id="1470785284">
          <w:marLeft w:val="0"/>
          <w:marRight w:val="0"/>
          <w:marTop w:val="0"/>
          <w:marBottom w:val="0"/>
          <w:divBdr>
            <w:top w:val="none" w:sz="0" w:space="0" w:color="auto"/>
            <w:left w:val="none" w:sz="0" w:space="0" w:color="auto"/>
            <w:bottom w:val="none" w:sz="0" w:space="0" w:color="auto"/>
            <w:right w:val="none" w:sz="0" w:space="0" w:color="auto"/>
          </w:divBdr>
        </w:div>
      </w:divsChild>
    </w:div>
    <w:div w:id="1292832317">
      <w:marLeft w:val="0"/>
      <w:marRight w:val="0"/>
      <w:marTop w:val="0"/>
      <w:marBottom w:val="0"/>
      <w:divBdr>
        <w:top w:val="none" w:sz="0" w:space="0" w:color="auto"/>
        <w:left w:val="none" w:sz="0" w:space="0" w:color="auto"/>
        <w:bottom w:val="none" w:sz="0" w:space="0" w:color="auto"/>
        <w:right w:val="none" w:sz="0" w:space="0" w:color="auto"/>
      </w:divBdr>
      <w:divsChild>
        <w:div w:id="436557215">
          <w:marLeft w:val="0"/>
          <w:marRight w:val="0"/>
          <w:marTop w:val="0"/>
          <w:marBottom w:val="0"/>
          <w:divBdr>
            <w:top w:val="none" w:sz="0" w:space="0" w:color="auto"/>
            <w:left w:val="none" w:sz="0" w:space="0" w:color="auto"/>
            <w:bottom w:val="none" w:sz="0" w:space="0" w:color="auto"/>
            <w:right w:val="none" w:sz="0" w:space="0" w:color="auto"/>
          </w:divBdr>
        </w:div>
      </w:divsChild>
    </w:div>
    <w:div w:id="1300378731">
      <w:marLeft w:val="0"/>
      <w:marRight w:val="0"/>
      <w:marTop w:val="100"/>
      <w:marBottom w:val="0"/>
      <w:divBdr>
        <w:top w:val="none" w:sz="0" w:space="0" w:color="auto"/>
        <w:left w:val="none" w:sz="0" w:space="0" w:color="auto"/>
        <w:bottom w:val="none" w:sz="0" w:space="0" w:color="auto"/>
        <w:right w:val="none" w:sz="0" w:space="0" w:color="auto"/>
      </w:divBdr>
    </w:div>
    <w:div w:id="1303853836">
      <w:marLeft w:val="0"/>
      <w:marRight w:val="0"/>
      <w:marTop w:val="280"/>
      <w:marBottom w:val="0"/>
      <w:divBdr>
        <w:top w:val="none" w:sz="0" w:space="0" w:color="auto"/>
        <w:left w:val="none" w:sz="0" w:space="0" w:color="auto"/>
        <w:bottom w:val="none" w:sz="0" w:space="0" w:color="auto"/>
        <w:right w:val="none" w:sz="0" w:space="0" w:color="auto"/>
      </w:divBdr>
    </w:div>
    <w:div w:id="1304459517">
      <w:marLeft w:val="0"/>
      <w:marRight w:val="0"/>
      <w:marTop w:val="0"/>
      <w:marBottom w:val="0"/>
      <w:divBdr>
        <w:top w:val="none" w:sz="0" w:space="0" w:color="auto"/>
        <w:left w:val="none" w:sz="0" w:space="0" w:color="auto"/>
        <w:bottom w:val="none" w:sz="0" w:space="0" w:color="auto"/>
        <w:right w:val="none" w:sz="0" w:space="0" w:color="auto"/>
      </w:divBdr>
      <w:divsChild>
        <w:div w:id="1969045157">
          <w:marLeft w:val="0"/>
          <w:marRight w:val="0"/>
          <w:marTop w:val="0"/>
          <w:marBottom w:val="0"/>
          <w:divBdr>
            <w:top w:val="none" w:sz="0" w:space="0" w:color="auto"/>
            <w:left w:val="none" w:sz="0" w:space="0" w:color="auto"/>
            <w:bottom w:val="none" w:sz="0" w:space="0" w:color="auto"/>
            <w:right w:val="none" w:sz="0" w:space="0" w:color="auto"/>
          </w:divBdr>
        </w:div>
      </w:divsChild>
    </w:div>
    <w:div w:id="1308707399">
      <w:marLeft w:val="0"/>
      <w:marRight w:val="0"/>
      <w:marTop w:val="100"/>
      <w:marBottom w:val="0"/>
      <w:divBdr>
        <w:top w:val="none" w:sz="0" w:space="0" w:color="auto"/>
        <w:left w:val="none" w:sz="0" w:space="0" w:color="auto"/>
        <w:bottom w:val="none" w:sz="0" w:space="0" w:color="auto"/>
        <w:right w:val="none" w:sz="0" w:space="0" w:color="auto"/>
      </w:divBdr>
    </w:div>
    <w:div w:id="1310943660">
      <w:marLeft w:val="0"/>
      <w:marRight w:val="0"/>
      <w:marTop w:val="100"/>
      <w:marBottom w:val="0"/>
      <w:divBdr>
        <w:top w:val="none" w:sz="0" w:space="0" w:color="auto"/>
        <w:left w:val="none" w:sz="0" w:space="0" w:color="auto"/>
        <w:bottom w:val="none" w:sz="0" w:space="0" w:color="auto"/>
        <w:right w:val="none" w:sz="0" w:space="0" w:color="auto"/>
      </w:divBdr>
    </w:div>
    <w:div w:id="1325888632">
      <w:marLeft w:val="0"/>
      <w:marRight w:val="0"/>
      <w:marTop w:val="280"/>
      <w:marBottom w:val="0"/>
      <w:divBdr>
        <w:top w:val="none" w:sz="0" w:space="0" w:color="auto"/>
        <w:left w:val="none" w:sz="0" w:space="0" w:color="auto"/>
        <w:bottom w:val="none" w:sz="0" w:space="0" w:color="auto"/>
        <w:right w:val="none" w:sz="0" w:space="0" w:color="auto"/>
      </w:divBdr>
    </w:div>
    <w:div w:id="1326665233">
      <w:marLeft w:val="0"/>
      <w:marRight w:val="0"/>
      <w:marTop w:val="0"/>
      <w:marBottom w:val="0"/>
      <w:divBdr>
        <w:top w:val="none" w:sz="0" w:space="0" w:color="auto"/>
        <w:left w:val="none" w:sz="0" w:space="0" w:color="auto"/>
        <w:bottom w:val="none" w:sz="0" w:space="0" w:color="auto"/>
        <w:right w:val="none" w:sz="0" w:space="0" w:color="auto"/>
      </w:divBdr>
      <w:divsChild>
        <w:div w:id="936254121">
          <w:marLeft w:val="0"/>
          <w:marRight w:val="0"/>
          <w:marTop w:val="0"/>
          <w:marBottom w:val="0"/>
          <w:divBdr>
            <w:top w:val="none" w:sz="0" w:space="0" w:color="auto"/>
            <w:left w:val="none" w:sz="0" w:space="0" w:color="auto"/>
            <w:bottom w:val="none" w:sz="0" w:space="0" w:color="auto"/>
            <w:right w:val="none" w:sz="0" w:space="0" w:color="auto"/>
          </w:divBdr>
        </w:div>
      </w:divsChild>
    </w:div>
    <w:div w:id="1329291606">
      <w:marLeft w:val="0"/>
      <w:marRight w:val="0"/>
      <w:marTop w:val="100"/>
      <w:marBottom w:val="0"/>
      <w:divBdr>
        <w:top w:val="none" w:sz="0" w:space="0" w:color="auto"/>
        <w:left w:val="none" w:sz="0" w:space="0" w:color="auto"/>
        <w:bottom w:val="none" w:sz="0" w:space="0" w:color="auto"/>
        <w:right w:val="none" w:sz="0" w:space="0" w:color="auto"/>
      </w:divBdr>
    </w:div>
    <w:div w:id="1335451676">
      <w:marLeft w:val="0"/>
      <w:marRight w:val="0"/>
      <w:marTop w:val="280"/>
      <w:marBottom w:val="0"/>
      <w:divBdr>
        <w:top w:val="none" w:sz="0" w:space="0" w:color="auto"/>
        <w:left w:val="none" w:sz="0" w:space="0" w:color="auto"/>
        <w:bottom w:val="none" w:sz="0" w:space="0" w:color="auto"/>
        <w:right w:val="none" w:sz="0" w:space="0" w:color="auto"/>
      </w:divBdr>
    </w:div>
    <w:div w:id="1337655540">
      <w:marLeft w:val="0"/>
      <w:marRight w:val="0"/>
      <w:marTop w:val="0"/>
      <w:marBottom w:val="0"/>
      <w:divBdr>
        <w:top w:val="none" w:sz="0" w:space="0" w:color="auto"/>
        <w:left w:val="none" w:sz="0" w:space="0" w:color="auto"/>
        <w:bottom w:val="none" w:sz="0" w:space="0" w:color="auto"/>
        <w:right w:val="none" w:sz="0" w:space="0" w:color="auto"/>
      </w:divBdr>
      <w:divsChild>
        <w:div w:id="1534927886">
          <w:marLeft w:val="0"/>
          <w:marRight w:val="0"/>
          <w:marTop w:val="0"/>
          <w:marBottom w:val="0"/>
          <w:divBdr>
            <w:top w:val="none" w:sz="0" w:space="0" w:color="auto"/>
            <w:left w:val="none" w:sz="0" w:space="0" w:color="auto"/>
            <w:bottom w:val="none" w:sz="0" w:space="0" w:color="auto"/>
            <w:right w:val="none" w:sz="0" w:space="0" w:color="auto"/>
          </w:divBdr>
        </w:div>
      </w:divsChild>
    </w:div>
    <w:div w:id="1342194944">
      <w:marLeft w:val="0"/>
      <w:marRight w:val="0"/>
      <w:marTop w:val="100"/>
      <w:marBottom w:val="0"/>
      <w:divBdr>
        <w:top w:val="none" w:sz="0" w:space="0" w:color="auto"/>
        <w:left w:val="none" w:sz="0" w:space="0" w:color="auto"/>
        <w:bottom w:val="none" w:sz="0" w:space="0" w:color="auto"/>
        <w:right w:val="none" w:sz="0" w:space="0" w:color="auto"/>
      </w:divBdr>
    </w:div>
    <w:div w:id="1350331592">
      <w:marLeft w:val="0"/>
      <w:marRight w:val="0"/>
      <w:marTop w:val="0"/>
      <w:marBottom w:val="0"/>
      <w:divBdr>
        <w:top w:val="none" w:sz="0" w:space="0" w:color="auto"/>
        <w:left w:val="none" w:sz="0" w:space="0" w:color="auto"/>
        <w:bottom w:val="none" w:sz="0" w:space="0" w:color="auto"/>
        <w:right w:val="none" w:sz="0" w:space="0" w:color="auto"/>
      </w:divBdr>
      <w:divsChild>
        <w:div w:id="597494003">
          <w:marLeft w:val="0"/>
          <w:marRight w:val="0"/>
          <w:marTop w:val="0"/>
          <w:marBottom w:val="0"/>
          <w:divBdr>
            <w:top w:val="none" w:sz="0" w:space="0" w:color="auto"/>
            <w:left w:val="none" w:sz="0" w:space="0" w:color="auto"/>
            <w:bottom w:val="none" w:sz="0" w:space="0" w:color="auto"/>
            <w:right w:val="none" w:sz="0" w:space="0" w:color="auto"/>
          </w:divBdr>
        </w:div>
      </w:divsChild>
    </w:div>
    <w:div w:id="1355686856">
      <w:marLeft w:val="0"/>
      <w:marRight w:val="0"/>
      <w:marTop w:val="100"/>
      <w:marBottom w:val="0"/>
      <w:divBdr>
        <w:top w:val="none" w:sz="0" w:space="0" w:color="auto"/>
        <w:left w:val="none" w:sz="0" w:space="0" w:color="auto"/>
        <w:bottom w:val="none" w:sz="0" w:space="0" w:color="auto"/>
        <w:right w:val="none" w:sz="0" w:space="0" w:color="auto"/>
      </w:divBdr>
    </w:div>
    <w:div w:id="1356034851">
      <w:marLeft w:val="0"/>
      <w:marRight w:val="0"/>
      <w:marTop w:val="0"/>
      <w:marBottom w:val="0"/>
      <w:divBdr>
        <w:top w:val="none" w:sz="0" w:space="0" w:color="auto"/>
        <w:left w:val="none" w:sz="0" w:space="0" w:color="auto"/>
        <w:bottom w:val="none" w:sz="0" w:space="0" w:color="auto"/>
        <w:right w:val="none" w:sz="0" w:space="0" w:color="auto"/>
      </w:divBdr>
    </w:div>
    <w:div w:id="1361853569">
      <w:marLeft w:val="0"/>
      <w:marRight w:val="0"/>
      <w:marTop w:val="100"/>
      <w:marBottom w:val="0"/>
      <w:divBdr>
        <w:top w:val="none" w:sz="0" w:space="0" w:color="auto"/>
        <w:left w:val="none" w:sz="0" w:space="0" w:color="auto"/>
        <w:bottom w:val="none" w:sz="0" w:space="0" w:color="auto"/>
        <w:right w:val="none" w:sz="0" w:space="0" w:color="auto"/>
      </w:divBdr>
    </w:div>
    <w:div w:id="1365256220">
      <w:marLeft w:val="0"/>
      <w:marRight w:val="0"/>
      <w:marTop w:val="280"/>
      <w:marBottom w:val="0"/>
      <w:divBdr>
        <w:top w:val="none" w:sz="0" w:space="0" w:color="auto"/>
        <w:left w:val="none" w:sz="0" w:space="0" w:color="auto"/>
        <w:bottom w:val="none" w:sz="0" w:space="0" w:color="auto"/>
        <w:right w:val="none" w:sz="0" w:space="0" w:color="auto"/>
      </w:divBdr>
    </w:div>
    <w:div w:id="1365331678">
      <w:marLeft w:val="0"/>
      <w:marRight w:val="0"/>
      <w:marTop w:val="100"/>
      <w:marBottom w:val="0"/>
      <w:divBdr>
        <w:top w:val="none" w:sz="0" w:space="0" w:color="auto"/>
        <w:left w:val="none" w:sz="0" w:space="0" w:color="auto"/>
        <w:bottom w:val="none" w:sz="0" w:space="0" w:color="auto"/>
        <w:right w:val="none" w:sz="0" w:space="0" w:color="auto"/>
      </w:divBdr>
    </w:div>
    <w:div w:id="1365446928">
      <w:marLeft w:val="0"/>
      <w:marRight w:val="0"/>
      <w:marTop w:val="280"/>
      <w:marBottom w:val="0"/>
      <w:divBdr>
        <w:top w:val="none" w:sz="0" w:space="0" w:color="auto"/>
        <w:left w:val="none" w:sz="0" w:space="0" w:color="auto"/>
        <w:bottom w:val="none" w:sz="0" w:space="0" w:color="auto"/>
        <w:right w:val="none" w:sz="0" w:space="0" w:color="auto"/>
      </w:divBdr>
    </w:div>
    <w:div w:id="1366636826">
      <w:marLeft w:val="0"/>
      <w:marRight w:val="0"/>
      <w:marTop w:val="280"/>
      <w:marBottom w:val="0"/>
      <w:divBdr>
        <w:top w:val="none" w:sz="0" w:space="0" w:color="auto"/>
        <w:left w:val="none" w:sz="0" w:space="0" w:color="auto"/>
        <w:bottom w:val="none" w:sz="0" w:space="0" w:color="auto"/>
        <w:right w:val="none" w:sz="0" w:space="0" w:color="auto"/>
      </w:divBdr>
    </w:div>
    <w:div w:id="1369525574">
      <w:marLeft w:val="0"/>
      <w:marRight w:val="0"/>
      <w:marTop w:val="180"/>
      <w:marBottom w:val="0"/>
      <w:divBdr>
        <w:top w:val="none" w:sz="0" w:space="0" w:color="auto"/>
        <w:left w:val="none" w:sz="0" w:space="0" w:color="auto"/>
        <w:bottom w:val="none" w:sz="0" w:space="0" w:color="auto"/>
        <w:right w:val="none" w:sz="0" w:space="0" w:color="auto"/>
      </w:divBdr>
    </w:div>
    <w:div w:id="1373264108">
      <w:marLeft w:val="0"/>
      <w:marRight w:val="0"/>
      <w:marTop w:val="0"/>
      <w:marBottom w:val="0"/>
      <w:divBdr>
        <w:top w:val="none" w:sz="0" w:space="0" w:color="auto"/>
        <w:left w:val="none" w:sz="0" w:space="0" w:color="auto"/>
        <w:bottom w:val="none" w:sz="0" w:space="0" w:color="auto"/>
        <w:right w:val="none" w:sz="0" w:space="0" w:color="auto"/>
      </w:divBdr>
      <w:divsChild>
        <w:div w:id="118575662">
          <w:marLeft w:val="0"/>
          <w:marRight w:val="0"/>
          <w:marTop w:val="0"/>
          <w:marBottom w:val="0"/>
          <w:divBdr>
            <w:top w:val="none" w:sz="0" w:space="0" w:color="auto"/>
            <w:left w:val="none" w:sz="0" w:space="0" w:color="auto"/>
            <w:bottom w:val="none" w:sz="0" w:space="0" w:color="auto"/>
            <w:right w:val="none" w:sz="0" w:space="0" w:color="auto"/>
          </w:divBdr>
        </w:div>
      </w:divsChild>
    </w:div>
    <w:div w:id="1376150927">
      <w:marLeft w:val="0"/>
      <w:marRight w:val="0"/>
      <w:marTop w:val="100"/>
      <w:marBottom w:val="0"/>
      <w:divBdr>
        <w:top w:val="none" w:sz="0" w:space="0" w:color="auto"/>
        <w:left w:val="none" w:sz="0" w:space="0" w:color="auto"/>
        <w:bottom w:val="none" w:sz="0" w:space="0" w:color="auto"/>
        <w:right w:val="none" w:sz="0" w:space="0" w:color="auto"/>
      </w:divBdr>
    </w:div>
    <w:div w:id="1378167006">
      <w:marLeft w:val="0"/>
      <w:marRight w:val="0"/>
      <w:marTop w:val="100"/>
      <w:marBottom w:val="0"/>
      <w:divBdr>
        <w:top w:val="none" w:sz="0" w:space="0" w:color="auto"/>
        <w:left w:val="none" w:sz="0" w:space="0" w:color="auto"/>
        <w:bottom w:val="none" w:sz="0" w:space="0" w:color="auto"/>
        <w:right w:val="none" w:sz="0" w:space="0" w:color="auto"/>
      </w:divBdr>
    </w:div>
    <w:div w:id="1378512490">
      <w:marLeft w:val="0"/>
      <w:marRight w:val="0"/>
      <w:marTop w:val="0"/>
      <w:marBottom w:val="0"/>
      <w:divBdr>
        <w:top w:val="none" w:sz="0" w:space="0" w:color="auto"/>
        <w:left w:val="none" w:sz="0" w:space="0" w:color="auto"/>
        <w:bottom w:val="none" w:sz="0" w:space="0" w:color="auto"/>
        <w:right w:val="none" w:sz="0" w:space="0" w:color="auto"/>
      </w:divBdr>
      <w:divsChild>
        <w:div w:id="1914585718">
          <w:marLeft w:val="0"/>
          <w:marRight w:val="0"/>
          <w:marTop w:val="0"/>
          <w:marBottom w:val="0"/>
          <w:divBdr>
            <w:top w:val="none" w:sz="0" w:space="0" w:color="auto"/>
            <w:left w:val="none" w:sz="0" w:space="0" w:color="auto"/>
            <w:bottom w:val="none" w:sz="0" w:space="0" w:color="auto"/>
            <w:right w:val="none" w:sz="0" w:space="0" w:color="auto"/>
          </w:divBdr>
        </w:div>
      </w:divsChild>
    </w:div>
    <w:div w:id="1380401040">
      <w:marLeft w:val="0"/>
      <w:marRight w:val="0"/>
      <w:marTop w:val="280"/>
      <w:marBottom w:val="100"/>
      <w:divBdr>
        <w:top w:val="none" w:sz="0" w:space="0" w:color="auto"/>
        <w:left w:val="none" w:sz="0" w:space="0" w:color="auto"/>
        <w:bottom w:val="none" w:sz="0" w:space="0" w:color="auto"/>
        <w:right w:val="none" w:sz="0" w:space="0" w:color="auto"/>
      </w:divBdr>
      <w:divsChild>
        <w:div w:id="1366324685">
          <w:marLeft w:val="0"/>
          <w:marRight w:val="0"/>
          <w:marTop w:val="0"/>
          <w:marBottom w:val="0"/>
          <w:divBdr>
            <w:top w:val="none" w:sz="0" w:space="0" w:color="auto"/>
            <w:left w:val="none" w:sz="0" w:space="0" w:color="auto"/>
            <w:bottom w:val="none" w:sz="0" w:space="0" w:color="auto"/>
            <w:right w:val="none" w:sz="0" w:space="0" w:color="auto"/>
          </w:divBdr>
        </w:div>
        <w:div w:id="1683706283">
          <w:marLeft w:val="0"/>
          <w:marRight w:val="0"/>
          <w:marTop w:val="0"/>
          <w:marBottom w:val="0"/>
          <w:divBdr>
            <w:top w:val="none" w:sz="0" w:space="0" w:color="auto"/>
            <w:left w:val="none" w:sz="0" w:space="0" w:color="auto"/>
            <w:bottom w:val="none" w:sz="0" w:space="0" w:color="auto"/>
            <w:right w:val="none" w:sz="0" w:space="0" w:color="auto"/>
          </w:divBdr>
        </w:div>
        <w:div w:id="622420335">
          <w:marLeft w:val="0"/>
          <w:marRight w:val="0"/>
          <w:marTop w:val="0"/>
          <w:marBottom w:val="0"/>
          <w:divBdr>
            <w:top w:val="none" w:sz="0" w:space="0" w:color="auto"/>
            <w:left w:val="none" w:sz="0" w:space="0" w:color="auto"/>
            <w:bottom w:val="none" w:sz="0" w:space="0" w:color="auto"/>
            <w:right w:val="none" w:sz="0" w:space="0" w:color="auto"/>
          </w:divBdr>
        </w:div>
        <w:div w:id="2112846607">
          <w:marLeft w:val="0"/>
          <w:marRight w:val="0"/>
          <w:marTop w:val="0"/>
          <w:marBottom w:val="0"/>
          <w:divBdr>
            <w:top w:val="none" w:sz="0" w:space="0" w:color="auto"/>
            <w:left w:val="none" w:sz="0" w:space="0" w:color="auto"/>
            <w:bottom w:val="none" w:sz="0" w:space="0" w:color="auto"/>
            <w:right w:val="none" w:sz="0" w:space="0" w:color="auto"/>
          </w:divBdr>
        </w:div>
        <w:div w:id="409230434">
          <w:marLeft w:val="0"/>
          <w:marRight w:val="0"/>
          <w:marTop w:val="0"/>
          <w:marBottom w:val="0"/>
          <w:divBdr>
            <w:top w:val="none" w:sz="0" w:space="0" w:color="auto"/>
            <w:left w:val="none" w:sz="0" w:space="0" w:color="auto"/>
            <w:bottom w:val="none" w:sz="0" w:space="0" w:color="auto"/>
            <w:right w:val="none" w:sz="0" w:space="0" w:color="auto"/>
          </w:divBdr>
        </w:div>
        <w:div w:id="938754599">
          <w:marLeft w:val="0"/>
          <w:marRight w:val="0"/>
          <w:marTop w:val="0"/>
          <w:marBottom w:val="0"/>
          <w:divBdr>
            <w:top w:val="none" w:sz="0" w:space="0" w:color="auto"/>
            <w:left w:val="none" w:sz="0" w:space="0" w:color="auto"/>
            <w:bottom w:val="none" w:sz="0" w:space="0" w:color="auto"/>
            <w:right w:val="none" w:sz="0" w:space="0" w:color="auto"/>
          </w:divBdr>
        </w:div>
        <w:div w:id="1990592272">
          <w:marLeft w:val="0"/>
          <w:marRight w:val="0"/>
          <w:marTop w:val="0"/>
          <w:marBottom w:val="0"/>
          <w:divBdr>
            <w:top w:val="none" w:sz="0" w:space="0" w:color="auto"/>
            <w:left w:val="none" w:sz="0" w:space="0" w:color="auto"/>
            <w:bottom w:val="none" w:sz="0" w:space="0" w:color="auto"/>
            <w:right w:val="none" w:sz="0" w:space="0" w:color="auto"/>
          </w:divBdr>
        </w:div>
        <w:div w:id="1946690654">
          <w:marLeft w:val="0"/>
          <w:marRight w:val="0"/>
          <w:marTop w:val="0"/>
          <w:marBottom w:val="0"/>
          <w:divBdr>
            <w:top w:val="none" w:sz="0" w:space="0" w:color="auto"/>
            <w:left w:val="none" w:sz="0" w:space="0" w:color="auto"/>
            <w:bottom w:val="none" w:sz="0" w:space="0" w:color="auto"/>
            <w:right w:val="none" w:sz="0" w:space="0" w:color="auto"/>
          </w:divBdr>
        </w:div>
        <w:div w:id="930742367">
          <w:marLeft w:val="0"/>
          <w:marRight w:val="0"/>
          <w:marTop w:val="0"/>
          <w:marBottom w:val="0"/>
          <w:divBdr>
            <w:top w:val="none" w:sz="0" w:space="0" w:color="auto"/>
            <w:left w:val="none" w:sz="0" w:space="0" w:color="auto"/>
            <w:bottom w:val="none" w:sz="0" w:space="0" w:color="auto"/>
            <w:right w:val="none" w:sz="0" w:space="0" w:color="auto"/>
          </w:divBdr>
        </w:div>
        <w:div w:id="828591375">
          <w:marLeft w:val="0"/>
          <w:marRight w:val="0"/>
          <w:marTop w:val="0"/>
          <w:marBottom w:val="0"/>
          <w:divBdr>
            <w:top w:val="none" w:sz="0" w:space="0" w:color="auto"/>
            <w:left w:val="none" w:sz="0" w:space="0" w:color="auto"/>
            <w:bottom w:val="none" w:sz="0" w:space="0" w:color="auto"/>
            <w:right w:val="none" w:sz="0" w:space="0" w:color="auto"/>
          </w:divBdr>
        </w:div>
        <w:div w:id="1618561335">
          <w:marLeft w:val="0"/>
          <w:marRight w:val="0"/>
          <w:marTop w:val="0"/>
          <w:marBottom w:val="0"/>
          <w:divBdr>
            <w:top w:val="none" w:sz="0" w:space="0" w:color="auto"/>
            <w:left w:val="none" w:sz="0" w:space="0" w:color="auto"/>
            <w:bottom w:val="none" w:sz="0" w:space="0" w:color="auto"/>
            <w:right w:val="none" w:sz="0" w:space="0" w:color="auto"/>
          </w:divBdr>
        </w:div>
        <w:div w:id="1315986012">
          <w:marLeft w:val="0"/>
          <w:marRight w:val="0"/>
          <w:marTop w:val="0"/>
          <w:marBottom w:val="0"/>
          <w:divBdr>
            <w:top w:val="none" w:sz="0" w:space="0" w:color="auto"/>
            <w:left w:val="none" w:sz="0" w:space="0" w:color="auto"/>
            <w:bottom w:val="none" w:sz="0" w:space="0" w:color="auto"/>
            <w:right w:val="none" w:sz="0" w:space="0" w:color="auto"/>
          </w:divBdr>
        </w:div>
        <w:div w:id="421075116">
          <w:marLeft w:val="0"/>
          <w:marRight w:val="0"/>
          <w:marTop w:val="0"/>
          <w:marBottom w:val="0"/>
          <w:divBdr>
            <w:top w:val="none" w:sz="0" w:space="0" w:color="auto"/>
            <w:left w:val="none" w:sz="0" w:space="0" w:color="auto"/>
            <w:bottom w:val="none" w:sz="0" w:space="0" w:color="auto"/>
            <w:right w:val="none" w:sz="0" w:space="0" w:color="auto"/>
          </w:divBdr>
        </w:div>
        <w:div w:id="26298637">
          <w:marLeft w:val="0"/>
          <w:marRight w:val="0"/>
          <w:marTop w:val="0"/>
          <w:marBottom w:val="0"/>
          <w:divBdr>
            <w:top w:val="none" w:sz="0" w:space="0" w:color="auto"/>
            <w:left w:val="none" w:sz="0" w:space="0" w:color="auto"/>
            <w:bottom w:val="none" w:sz="0" w:space="0" w:color="auto"/>
            <w:right w:val="none" w:sz="0" w:space="0" w:color="auto"/>
          </w:divBdr>
        </w:div>
        <w:div w:id="679040565">
          <w:marLeft w:val="0"/>
          <w:marRight w:val="0"/>
          <w:marTop w:val="0"/>
          <w:marBottom w:val="0"/>
          <w:divBdr>
            <w:top w:val="none" w:sz="0" w:space="0" w:color="auto"/>
            <w:left w:val="none" w:sz="0" w:space="0" w:color="auto"/>
            <w:bottom w:val="none" w:sz="0" w:space="0" w:color="auto"/>
            <w:right w:val="none" w:sz="0" w:space="0" w:color="auto"/>
          </w:divBdr>
        </w:div>
      </w:divsChild>
    </w:div>
    <w:div w:id="1382903248">
      <w:marLeft w:val="0"/>
      <w:marRight w:val="0"/>
      <w:marTop w:val="100"/>
      <w:marBottom w:val="0"/>
      <w:divBdr>
        <w:top w:val="none" w:sz="0" w:space="0" w:color="auto"/>
        <w:left w:val="none" w:sz="0" w:space="0" w:color="auto"/>
        <w:bottom w:val="none" w:sz="0" w:space="0" w:color="auto"/>
        <w:right w:val="none" w:sz="0" w:space="0" w:color="auto"/>
      </w:divBdr>
    </w:div>
    <w:div w:id="1385367535">
      <w:marLeft w:val="0"/>
      <w:marRight w:val="0"/>
      <w:marTop w:val="0"/>
      <w:marBottom w:val="0"/>
      <w:divBdr>
        <w:top w:val="none" w:sz="0" w:space="0" w:color="auto"/>
        <w:left w:val="none" w:sz="0" w:space="0" w:color="auto"/>
        <w:bottom w:val="none" w:sz="0" w:space="0" w:color="auto"/>
        <w:right w:val="none" w:sz="0" w:space="0" w:color="auto"/>
      </w:divBdr>
    </w:div>
    <w:div w:id="1388722791">
      <w:marLeft w:val="0"/>
      <w:marRight w:val="0"/>
      <w:marTop w:val="0"/>
      <w:marBottom w:val="0"/>
      <w:divBdr>
        <w:top w:val="none" w:sz="0" w:space="0" w:color="auto"/>
        <w:left w:val="none" w:sz="0" w:space="0" w:color="auto"/>
        <w:bottom w:val="none" w:sz="0" w:space="0" w:color="auto"/>
        <w:right w:val="none" w:sz="0" w:space="0" w:color="auto"/>
      </w:divBdr>
    </w:div>
    <w:div w:id="1390154829">
      <w:marLeft w:val="0"/>
      <w:marRight w:val="0"/>
      <w:marTop w:val="100"/>
      <w:marBottom w:val="0"/>
      <w:divBdr>
        <w:top w:val="none" w:sz="0" w:space="0" w:color="auto"/>
        <w:left w:val="none" w:sz="0" w:space="0" w:color="auto"/>
        <w:bottom w:val="none" w:sz="0" w:space="0" w:color="auto"/>
        <w:right w:val="none" w:sz="0" w:space="0" w:color="auto"/>
      </w:divBdr>
    </w:div>
    <w:div w:id="1396127783">
      <w:marLeft w:val="0"/>
      <w:marRight w:val="0"/>
      <w:marTop w:val="280"/>
      <w:marBottom w:val="0"/>
      <w:divBdr>
        <w:top w:val="none" w:sz="0" w:space="0" w:color="auto"/>
        <w:left w:val="none" w:sz="0" w:space="0" w:color="auto"/>
        <w:bottom w:val="none" w:sz="0" w:space="0" w:color="auto"/>
        <w:right w:val="none" w:sz="0" w:space="0" w:color="auto"/>
      </w:divBdr>
    </w:div>
    <w:div w:id="1397703446">
      <w:marLeft w:val="0"/>
      <w:marRight w:val="0"/>
      <w:marTop w:val="40"/>
      <w:marBottom w:val="0"/>
      <w:divBdr>
        <w:top w:val="none" w:sz="0" w:space="0" w:color="auto"/>
        <w:left w:val="none" w:sz="0" w:space="0" w:color="auto"/>
        <w:bottom w:val="none" w:sz="0" w:space="0" w:color="auto"/>
        <w:right w:val="none" w:sz="0" w:space="0" w:color="auto"/>
      </w:divBdr>
    </w:div>
    <w:div w:id="1398505370">
      <w:marLeft w:val="0"/>
      <w:marRight w:val="0"/>
      <w:marTop w:val="0"/>
      <w:marBottom w:val="0"/>
      <w:divBdr>
        <w:top w:val="none" w:sz="0" w:space="0" w:color="auto"/>
        <w:left w:val="none" w:sz="0" w:space="0" w:color="auto"/>
        <w:bottom w:val="none" w:sz="0" w:space="0" w:color="auto"/>
        <w:right w:val="none" w:sz="0" w:space="0" w:color="auto"/>
      </w:divBdr>
      <w:divsChild>
        <w:div w:id="1718771914">
          <w:marLeft w:val="0"/>
          <w:marRight w:val="0"/>
          <w:marTop w:val="0"/>
          <w:marBottom w:val="0"/>
          <w:divBdr>
            <w:top w:val="none" w:sz="0" w:space="0" w:color="auto"/>
            <w:left w:val="none" w:sz="0" w:space="0" w:color="auto"/>
            <w:bottom w:val="none" w:sz="0" w:space="0" w:color="auto"/>
            <w:right w:val="none" w:sz="0" w:space="0" w:color="auto"/>
          </w:divBdr>
        </w:div>
      </w:divsChild>
    </w:div>
    <w:div w:id="1399472727">
      <w:marLeft w:val="0"/>
      <w:marRight w:val="0"/>
      <w:marTop w:val="100"/>
      <w:marBottom w:val="0"/>
      <w:divBdr>
        <w:top w:val="none" w:sz="0" w:space="0" w:color="auto"/>
        <w:left w:val="none" w:sz="0" w:space="0" w:color="auto"/>
        <w:bottom w:val="none" w:sz="0" w:space="0" w:color="auto"/>
        <w:right w:val="none" w:sz="0" w:space="0" w:color="auto"/>
      </w:divBdr>
    </w:div>
    <w:div w:id="1403716782">
      <w:marLeft w:val="0"/>
      <w:marRight w:val="0"/>
      <w:marTop w:val="0"/>
      <w:marBottom w:val="0"/>
      <w:divBdr>
        <w:top w:val="none" w:sz="0" w:space="0" w:color="auto"/>
        <w:left w:val="none" w:sz="0" w:space="0" w:color="auto"/>
        <w:bottom w:val="none" w:sz="0" w:space="0" w:color="auto"/>
        <w:right w:val="none" w:sz="0" w:space="0" w:color="auto"/>
      </w:divBdr>
      <w:divsChild>
        <w:div w:id="458183451">
          <w:marLeft w:val="0"/>
          <w:marRight w:val="0"/>
          <w:marTop w:val="0"/>
          <w:marBottom w:val="0"/>
          <w:divBdr>
            <w:top w:val="none" w:sz="0" w:space="0" w:color="auto"/>
            <w:left w:val="none" w:sz="0" w:space="0" w:color="auto"/>
            <w:bottom w:val="none" w:sz="0" w:space="0" w:color="auto"/>
            <w:right w:val="none" w:sz="0" w:space="0" w:color="auto"/>
          </w:divBdr>
        </w:div>
      </w:divsChild>
    </w:div>
    <w:div w:id="1406144960">
      <w:marLeft w:val="0"/>
      <w:marRight w:val="0"/>
      <w:marTop w:val="100"/>
      <w:marBottom w:val="0"/>
      <w:divBdr>
        <w:top w:val="none" w:sz="0" w:space="0" w:color="auto"/>
        <w:left w:val="none" w:sz="0" w:space="0" w:color="auto"/>
        <w:bottom w:val="none" w:sz="0" w:space="0" w:color="auto"/>
        <w:right w:val="none" w:sz="0" w:space="0" w:color="auto"/>
      </w:divBdr>
      <w:divsChild>
        <w:div w:id="1433892413">
          <w:marLeft w:val="0"/>
          <w:marRight w:val="0"/>
          <w:marTop w:val="0"/>
          <w:marBottom w:val="0"/>
          <w:divBdr>
            <w:top w:val="none" w:sz="0" w:space="0" w:color="auto"/>
            <w:left w:val="none" w:sz="0" w:space="0" w:color="auto"/>
            <w:bottom w:val="none" w:sz="0" w:space="0" w:color="auto"/>
            <w:right w:val="none" w:sz="0" w:space="0" w:color="auto"/>
          </w:divBdr>
        </w:div>
      </w:divsChild>
    </w:div>
    <w:div w:id="1414356852">
      <w:marLeft w:val="0"/>
      <w:marRight w:val="0"/>
      <w:marTop w:val="100"/>
      <w:marBottom w:val="0"/>
      <w:divBdr>
        <w:top w:val="none" w:sz="0" w:space="0" w:color="auto"/>
        <w:left w:val="none" w:sz="0" w:space="0" w:color="auto"/>
        <w:bottom w:val="none" w:sz="0" w:space="0" w:color="auto"/>
        <w:right w:val="none" w:sz="0" w:space="0" w:color="auto"/>
      </w:divBdr>
    </w:div>
    <w:div w:id="1420517340">
      <w:marLeft w:val="0"/>
      <w:marRight w:val="0"/>
      <w:marTop w:val="120"/>
      <w:marBottom w:val="0"/>
      <w:divBdr>
        <w:top w:val="none" w:sz="0" w:space="0" w:color="auto"/>
        <w:left w:val="none" w:sz="0" w:space="0" w:color="auto"/>
        <w:bottom w:val="none" w:sz="0" w:space="0" w:color="auto"/>
        <w:right w:val="none" w:sz="0" w:space="0" w:color="auto"/>
      </w:divBdr>
    </w:div>
    <w:div w:id="1423642385">
      <w:marLeft w:val="0"/>
      <w:marRight w:val="0"/>
      <w:marTop w:val="60"/>
      <w:marBottom w:val="0"/>
      <w:divBdr>
        <w:top w:val="none" w:sz="0" w:space="0" w:color="auto"/>
        <w:left w:val="none" w:sz="0" w:space="0" w:color="auto"/>
        <w:bottom w:val="none" w:sz="0" w:space="0" w:color="auto"/>
        <w:right w:val="none" w:sz="0" w:space="0" w:color="auto"/>
      </w:divBdr>
    </w:div>
    <w:div w:id="1424301149">
      <w:marLeft w:val="0"/>
      <w:marRight w:val="0"/>
      <w:marTop w:val="280"/>
      <w:marBottom w:val="0"/>
      <w:divBdr>
        <w:top w:val="none" w:sz="0" w:space="0" w:color="auto"/>
        <w:left w:val="none" w:sz="0" w:space="0" w:color="auto"/>
        <w:bottom w:val="none" w:sz="0" w:space="0" w:color="auto"/>
        <w:right w:val="none" w:sz="0" w:space="0" w:color="auto"/>
      </w:divBdr>
    </w:div>
    <w:div w:id="1427187740">
      <w:marLeft w:val="0"/>
      <w:marRight w:val="0"/>
      <w:marTop w:val="100"/>
      <w:marBottom w:val="0"/>
      <w:divBdr>
        <w:top w:val="none" w:sz="0" w:space="0" w:color="auto"/>
        <w:left w:val="none" w:sz="0" w:space="0" w:color="auto"/>
        <w:bottom w:val="none" w:sz="0" w:space="0" w:color="auto"/>
        <w:right w:val="none" w:sz="0" w:space="0" w:color="auto"/>
      </w:divBdr>
    </w:div>
    <w:div w:id="1430586340">
      <w:marLeft w:val="0"/>
      <w:marRight w:val="0"/>
      <w:marTop w:val="280"/>
      <w:marBottom w:val="0"/>
      <w:divBdr>
        <w:top w:val="none" w:sz="0" w:space="0" w:color="auto"/>
        <w:left w:val="none" w:sz="0" w:space="0" w:color="auto"/>
        <w:bottom w:val="none" w:sz="0" w:space="0" w:color="auto"/>
        <w:right w:val="none" w:sz="0" w:space="0" w:color="auto"/>
      </w:divBdr>
    </w:div>
    <w:div w:id="1430663777">
      <w:marLeft w:val="0"/>
      <w:marRight w:val="0"/>
      <w:marTop w:val="100"/>
      <w:marBottom w:val="0"/>
      <w:divBdr>
        <w:top w:val="none" w:sz="0" w:space="0" w:color="auto"/>
        <w:left w:val="none" w:sz="0" w:space="0" w:color="auto"/>
        <w:bottom w:val="none" w:sz="0" w:space="0" w:color="auto"/>
        <w:right w:val="none" w:sz="0" w:space="0" w:color="auto"/>
      </w:divBdr>
    </w:div>
    <w:div w:id="1435008865">
      <w:marLeft w:val="0"/>
      <w:marRight w:val="0"/>
      <w:marTop w:val="100"/>
      <w:marBottom w:val="0"/>
      <w:divBdr>
        <w:top w:val="none" w:sz="0" w:space="0" w:color="auto"/>
        <w:left w:val="none" w:sz="0" w:space="0" w:color="auto"/>
        <w:bottom w:val="none" w:sz="0" w:space="0" w:color="auto"/>
        <w:right w:val="none" w:sz="0" w:space="0" w:color="auto"/>
      </w:divBdr>
    </w:div>
    <w:div w:id="1439838687">
      <w:marLeft w:val="0"/>
      <w:marRight w:val="0"/>
      <w:marTop w:val="100"/>
      <w:marBottom w:val="0"/>
      <w:divBdr>
        <w:top w:val="none" w:sz="0" w:space="0" w:color="auto"/>
        <w:left w:val="none" w:sz="0" w:space="0" w:color="auto"/>
        <w:bottom w:val="none" w:sz="0" w:space="0" w:color="auto"/>
        <w:right w:val="none" w:sz="0" w:space="0" w:color="auto"/>
      </w:divBdr>
    </w:div>
    <w:div w:id="1440641084">
      <w:marLeft w:val="0"/>
      <w:marRight w:val="0"/>
      <w:marTop w:val="100"/>
      <w:marBottom w:val="0"/>
      <w:divBdr>
        <w:top w:val="none" w:sz="0" w:space="0" w:color="auto"/>
        <w:left w:val="none" w:sz="0" w:space="0" w:color="auto"/>
        <w:bottom w:val="none" w:sz="0" w:space="0" w:color="auto"/>
        <w:right w:val="none" w:sz="0" w:space="0" w:color="auto"/>
      </w:divBdr>
    </w:div>
    <w:div w:id="1452744789">
      <w:marLeft w:val="0"/>
      <w:marRight w:val="0"/>
      <w:marTop w:val="280"/>
      <w:marBottom w:val="0"/>
      <w:divBdr>
        <w:top w:val="none" w:sz="0" w:space="0" w:color="auto"/>
        <w:left w:val="none" w:sz="0" w:space="0" w:color="auto"/>
        <w:bottom w:val="none" w:sz="0" w:space="0" w:color="auto"/>
        <w:right w:val="none" w:sz="0" w:space="0" w:color="auto"/>
      </w:divBdr>
    </w:div>
    <w:div w:id="1462843623">
      <w:marLeft w:val="0"/>
      <w:marRight w:val="0"/>
      <w:marTop w:val="100"/>
      <w:marBottom w:val="0"/>
      <w:divBdr>
        <w:top w:val="none" w:sz="0" w:space="0" w:color="auto"/>
        <w:left w:val="none" w:sz="0" w:space="0" w:color="auto"/>
        <w:bottom w:val="none" w:sz="0" w:space="0" w:color="auto"/>
        <w:right w:val="none" w:sz="0" w:space="0" w:color="auto"/>
      </w:divBdr>
    </w:div>
    <w:div w:id="1463621850">
      <w:marLeft w:val="0"/>
      <w:marRight w:val="0"/>
      <w:marTop w:val="100"/>
      <w:marBottom w:val="0"/>
      <w:divBdr>
        <w:top w:val="none" w:sz="0" w:space="0" w:color="auto"/>
        <w:left w:val="none" w:sz="0" w:space="0" w:color="auto"/>
        <w:bottom w:val="none" w:sz="0" w:space="0" w:color="auto"/>
        <w:right w:val="none" w:sz="0" w:space="0" w:color="auto"/>
      </w:divBdr>
    </w:div>
    <w:div w:id="1464537180">
      <w:marLeft w:val="0"/>
      <w:marRight w:val="0"/>
      <w:marTop w:val="40"/>
      <w:marBottom w:val="0"/>
      <w:divBdr>
        <w:top w:val="none" w:sz="0" w:space="0" w:color="auto"/>
        <w:left w:val="none" w:sz="0" w:space="0" w:color="auto"/>
        <w:bottom w:val="none" w:sz="0" w:space="0" w:color="auto"/>
        <w:right w:val="none" w:sz="0" w:space="0" w:color="auto"/>
      </w:divBdr>
    </w:div>
    <w:div w:id="1473671869">
      <w:marLeft w:val="0"/>
      <w:marRight w:val="0"/>
      <w:marTop w:val="280"/>
      <w:marBottom w:val="0"/>
      <w:divBdr>
        <w:top w:val="none" w:sz="0" w:space="0" w:color="auto"/>
        <w:left w:val="none" w:sz="0" w:space="0" w:color="auto"/>
        <w:bottom w:val="none" w:sz="0" w:space="0" w:color="auto"/>
        <w:right w:val="none" w:sz="0" w:space="0" w:color="auto"/>
      </w:divBdr>
    </w:div>
    <w:div w:id="1475681572">
      <w:marLeft w:val="0"/>
      <w:marRight w:val="0"/>
      <w:marTop w:val="100"/>
      <w:marBottom w:val="0"/>
      <w:divBdr>
        <w:top w:val="none" w:sz="0" w:space="0" w:color="auto"/>
        <w:left w:val="none" w:sz="0" w:space="0" w:color="auto"/>
        <w:bottom w:val="none" w:sz="0" w:space="0" w:color="auto"/>
        <w:right w:val="none" w:sz="0" w:space="0" w:color="auto"/>
      </w:divBdr>
    </w:div>
    <w:div w:id="1478844127">
      <w:marLeft w:val="0"/>
      <w:marRight w:val="0"/>
      <w:marTop w:val="100"/>
      <w:marBottom w:val="0"/>
      <w:divBdr>
        <w:top w:val="none" w:sz="0" w:space="0" w:color="auto"/>
        <w:left w:val="none" w:sz="0" w:space="0" w:color="auto"/>
        <w:bottom w:val="none" w:sz="0" w:space="0" w:color="auto"/>
        <w:right w:val="none" w:sz="0" w:space="0" w:color="auto"/>
      </w:divBdr>
    </w:div>
    <w:div w:id="1480465782">
      <w:marLeft w:val="0"/>
      <w:marRight w:val="0"/>
      <w:marTop w:val="100"/>
      <w:marBottom w:val="0"/>
      <w:divBdr>
        <w:top w:val="none" w:sz="0" w:space="0" w:color="auto"/>
        <w:left w:val="none" w:sz="0" w:space="0" w:color="auto"/>
        <w:bottom w:val="none" w:sz="0" w:space="0" w:color="auto"/>
        <w:right w:val="none" w:sz="0" w:space="0" w:color="auto"/>
      </w:divBdr>
      <w:divsChild>
        <w:div w:id="965500612">
          <w:marLeft w:val="0"/>
          <w:marRight w:val="0"/>
          <w:marTop w:val="0"/>
          <w:marBottom w:val="0"/>
          <w:divBdr>
            <w:top w:val="none" w:sz="0" w:space="0" w:color="auto"/>
            <w:left w:val="none" w:sz="0" w:space="0" w:color="auto"/>
            <w:bottom w:val="none" w:sz="0" w:space="0" w:color="auto"/>
            <w:right w:val="none" w:sz="0" w:space="0" w:color="auto"/>
          </w:divBdr>
        </w:div>
        <w:div w:id="911626605">
          <w:marLeft w:val="0"/>
          <w:marRight w:val="0"/>
          <w:marTop w:val="0"/>
          <w:marBottom w:val="0"/>
          <w:divBdr>
            <w:top w:val="none" w:sz="0" w:space="0" w:color="auto"/>
            <w:left w:val="none" w:sz="0" w:space="0" w:color="auto"/>
            <w:bottom w:val="none" w:sz="0" w:space="0" w:color="auto"/>
            <w:right w:val="none" w:sz="0" w:space="0" w:color="auto"/>
          </w:divBdr>
        </w:div>
      </w:divsChild>
    </w:div>
    <w:div w:id="1486123074">
      <w:marLeft w:val="0"/>
      <w:marRight w:val="0"/>
      <w:marTop w:val="280"/>
      <w:marBottom w:val="0"/>
      <w:divBdr>
        <w:top w:val="none" w:sz="0" w:space="0" w:color="auto"/>
        <w:left w:val="none" w:sz="0" w:space="0" w:color="auto"/>
        <w:bottom w:val="none" w:sz="0" w:space="0" w:color="auto"/>
        <w:right w:val="none" w:sz="0" w:space="0" w:color="auto"/>
      </w:divBdr>
    </w:div>
    <w:div w:id="1488672424">
      <w:marLeft w:val="0"/>
      <w:marRight w:val="0"/>
      <w:marTop w:val="0"/>
      <w:marBottom w:val="0"/>
      <w:divBdr>
        <w:top w:val="none" w:sz="0" w:space="0" w:color="auto"/>
        <w:left w:val="none" w:sz="0" w:space="0" w:color="auto"/>
        <w:bottom w:val="none" w:sz="0" w:space="0" w:color="auto"/>
        <w:right w:val="none" w:sz="0" w:space="0" w:color="auto"/>
      </w:divBdr>
    </w:div>
    <w:div w:id="1490169740">
      <w:marLeft w:val="0"/>
      <w:marRight w:val="0"/>
      <w:marTop w:val="40"/>
      <w:marBottom w:val="0"/>
      <w:divBdr>
        <w:top w:val="none" w:sz="0" w:space="0" w:color="auto"/>
        <w:left w:val="none" w:sz="0" w:space="0" w:color="auto"/>
        <w:bottom w:val="none" w:sz="0" w:space="0" w:color="auto"/>
        <w:right w:val="none" w:sz="0" w:space="0" w:color="auto"/>
      </w:divBdr>
    </w:div>
    <w:div w:id="1492213577">
      <w:marLeft w:val="0"/>
      <w:marRight w:val="0"/>
      <w:marTop w:val="100"/>
      <w:marBottom w:val="0"/>
      <w:divBdr>
        <w:top w:val="none" w:sz="0" w:space="0" w:color="auto"/>
        <w:left w:val="none" w:sz="0" w:space="0" w:color="auto"/>
        <w:bottom w:val="none" w:sz="0" w:space="0" w:color="auto"/>
        <w:right w:val="none" w:sz="0" w:space="0" w:color="auto"/>
      </w:divBdr>
    </w:div>
    <w:div w:id="1493452742">
      <w:marLeft w:val="0"/>
      <w:marRight w:val="0"/>
      <w:marTop w:val="120"/>
      <w:marBottom w:val="0"/>
      <w:divBdr>
        <w:top w:val="none" w:sz="0" w:space="0" w:color="auto"/>
        <w:left w:val="none" w:sz="0" w:space="0" w:color="auto"/>
        <w:bottom w:val="none" w:sz="0" w:space="0" w:color="auto"/>
        <w:right w:val="none" w:sz="0" w:space="0" w:color="auto"/>
      </w:divBdr>
    </w:div>
    <w:div w:id="1493569519">
      <w:marLeft w:val="0"/>
      <w:marRight w:val="0"/>
      <w:marTop w:val="100"/>
      <w:marBottom w:val="0"/>
      <w:divBdr>
        <w:top w:val="none" w:sz="0" w:space="0" w:color="auto"/>
        <w:left w:val="none" w:sz="0" w:space="0" w:color="auto"/>
        <w:bottom w:val="none" w:sz="0" w:space="0" w:color="auto"/>
        <w:right w:val="none" w:sz="0" w:space="0" w:color="auto"/>
      </w:divBdr>
    </w:div>
    <w:div w:id="1497190586">
      <w:marLeft w:val="0"/>
      <w:marRight w:val="0"/>
      <w:marTop w:val="100"/>
      <w:marBottom w:val="0"/>
      <w:divBdr>
        <w:top w:val="none" w:sz="0" w:space="0" w:color="auto"/>
        <w:left w:val="none" w:sz="0" w:space="0" w:color="auto"/>
        <w:bottom w:val="none" w:sz="0" w:space="0" w:color="auto"/>
        <w:right w:val="none" w:sz="0" w:space="0" w:color="auto"/>
      </w:divBdr>
      <w:divsChild>
        <w:div w:id="1132135539">
          <w:marLeft w:val="0"/>
          <w:marRight w:val="0"/>
          <w:marTop w:val="0"/>
          <w:marBottom w:val="0"/>
          <w:divBdr>
            <w:top w:val="none" w:sz="0" w:space="0" w:color="auto"/>
            <w:left w:val="none" w:sz="0" w:space="0" w:color="auto"/>
            <w:bottom w:val="none" w:sz="0" w:space="0" w:color="auto"/>
            <w:right w:val="none" w:sz="0" w:space="0" w:color="auto"/>
          </w:divBdr>
        </w:div>
      </w:divsChild>
    </w:div>
    <w:div w:id="1497695949">
      <w:marLeft w:val="0"/>
      <w:marRight w:val="0"/>
      <w:marTop w:val="280"/>
      <w:marBottom w:val="0"/>
      <w:divBdr>
        <w:top w:val="none" w:sz="0" w:space="0" w:color="auto"/>
        <w:left w:val="none" w:sz="0" w:space="0" w:color="auto"/>
        <w:bottom w:val="none" w:sz="0" w:space="0" w:color="auto"/>
        <w:right w:val="none" w:sz="0" w:space="0" w:color="auto"/>
      </w:divBdr>
    </w:div>
    <w:div w:id="1500190484">
      <w:marLeft w:val="0"/>
      <w:marRight w:val="0"/>
      <w:marTop w:val="100"/>
      <w:marBottom w:val="0"/>
      <w:divBdr>
        <w:top w:val="none" w:sz="0" w:space="0" w:color="auto"/>
        <w:left w:val="none" w:sz="0" w:space="0" w:color="auto"/>
        <w:bottom w:val="none" w:sz="0" w:space="0" w:color="auto"/>
        <w:right w:val="none" w:sz="0" w:space="0" w:color="auto"/>
      </w:divBdr>
    </w:div>
    <w:div w:id="1501459059">
      <w:marLeft w:val="0"/>
      <w:marRight w:val="0"/>
      <w:marTop w:val="280"/>
      <w:marBottom w:val="0"/>
      <w:divBdr>
        <w:top w:val="none" w:sz="0" w:space="0" w:color="auto"/>
        <w:left w:val="none" w:sz="0" w:space="0" w:color="auto"/>
        <w:bottom w:val="none" w:sz="0" w:space="0" w:color="auto"/>
        <w:right w:val="none" w:sz="0" w:space="0" w:color="auto"/>
      </w:divBdr>
    </w:div>
    <w:div w:id="1504511320">
      <w:marLeft w:val="0"/>
      <w:marRight w:val="0"/>
      <w:marTop w:val="100"/>
      <w:marBottom w:val="0"/>
      <w:divBdr>
        <w:top w:val="none" w:sz="0" w:space="0" w:color="auto"/>
        <w:left w:val="none" w:sz="0" w:space="0" w:color="auto"/>
        <w:bottom w:val="none" w:sz="0" w:space="0" w:color="auto"/>
        <w:right w:val="none" w:sz="0" w:space="0" w:color="auto"/>
      </w:divBdr>
    </w:div>
    <w:div w:id="1505439047">
      <w:marLeft w:val="0"/>
      <w:marRight w:val="0"/>
      <w:marTop w:val="100"/>
      <w:marBottom w:val="0"/>
      <w:divBdr>
        <w:top w:val="none" w:sz="0" w:space="0" w:color="auto"/>
        <w:left w:val="none" w:sz="0" w:space="0" w:color="auto"/>
        <w:bottom w:val="none" w:sz="0" w:space="0" w:color="auto"/>
        <w:right w:val="none" w:sz="0" w:space="0" w:color="auto"/>
      </w:divBdr>
    </w:div>
    <w:div w:id="1505590020">
      <w:marLeft w:val="0"/>
      <w:marRight w:val="0"/>
      <w:marTop w:val="100"/>
      <w:marBottom w:val="0"/>
      <w:divBdr>
        <w:top w:val="none" w:sz="0" w:space="0" w:color="auto"/>
        <w:left w:val="none" w:sz="0" w:space="0" w:color="auto"/>
        <w:bottom w:val="none" w:sz="0" w:space="0" w:color="auto"/>
        <w:right w:val="none" w:sz="0" w:space="0" w:color="auto"/>
      </w:divBdr>
    </w:div>
    <w:div w:id="1506434783">
      <w:marLeft w:val="0"/>
      <w:marRight w:val="0"/>
      <w:marTop w:val="0"/>
      <w:marBottom w:val="0"/>
      <w:divBdr>
        <w:top w:val="none" w:sz="0" w:space="0" w:color="auto"/>
        <w:left w:val="none" w:sz="0" w:space="0" w:color="auto"/>
        <w:bottom w:val="none" w:sz="0" w:space="0" w:color="auto"/>
        <w:right w:val="none" w:sz="0" w:space="0" w:color="auto"/>
      </w:divBdr>
    </w:div>
    <w:div w:id="1508402624">
      <w:marLeft w:val="0"/>
      <w:marRight w:val="0"/>
      <w:marTop w:val="0"/>
      <w:marBottom w:val="0"/>
      <w:divBdr>
        <w:top w:val="none" w:sz="0" w:space="0" w:color="auto"/>
        <w:left w:val="none" w:sz="0" w:space="0" w:color="auto"/>
        <w:bottom w:val="none" w:sz="0" w:space="0" w:color="auto"/>
        <w:right w:val="none" w:sz="0" w:space="0" w:color="auto"/>
      </w:divBdr>
      <w:divsChild>
        <w:div w:id="1108310057">
          <w:marLeft w:val="0"/>
          <w:marRight w:val="0"/>
          <w:marTop w:val="0"/>
          <w:marBottom w:val="0"/>
          <w:divBdr>
            <w:top w:val="none" w:sz="0" w:space="0" w:color="auto"/>
            <w:left w:val="none" w:sz="0" w:space="0" w:color="auto"/>
            <w:bottom w:val="none" w:sz="0" w:space="0" w:color="auto"/>
            <w:right w:val="none" w:sz="0" w:space="0" w:color="auto"/>
          </w:divBdr>
        </w:div>
      </w:divsChild>
    </w:div>
    <w:div w:id="1511525359">
      <w:marLeft w:val="0"/>
      <w:marRight w:val="0"/>
      <w:marTop w:val="100"/>
      <w:marBottom w:val="0"/>
      <w:divBdr>
        <w:top w:val="none" w:sz="0" w:space="0" w:color="auto"/>
        <w:left w:val="none" w:sz="0" w:space="0" w:color="auto"/>
        <w:bottom w:val="none" w:sz="0" w:space="0" w:color="auto"/>
        <w:right w:val="none" w:sz="0" w:space="0" w:color="auto"/>
      </w:divBdr>
    </w:div>
    <w:div w:id="1514225786">
      <w:marLeft w:val="0"/>
      <w:marRight w:val="0"/>
      <w:marTop w:val="100"/>
      <w:marBottom w:val="0"/>
      <w:divBdr>
        <w:top w:val="none" w:sz="0" w:space="0" w:color="auto"/>
        <w:left w:val="none" w:sz="0" w:space="0" w:color="auto"/>
        <w:bottom w:val="none" w:sz="0" w:space="0" w:color="auto"/>
        <w:right w:val="none" w:sz="0" w:space="0" w:color="auto"/>
      </w:divBdr>
    </w:div>
    <w:div w:id="1517042690">
      <w:marLeft w:val="0"/>
      <w:marRight w:val="0"/>
      <w:marTop w:val="0"/>
      <w:marBottom w:val="120"/>
      <w:divBdr>
        <w:top w:val="none" w:sz="0" w:space="0" w:color="auto"/>
        <w:left w:val="none" w:sz="0" w:space="0" w:color="auto"/>
        <w:bottom w:val="none" w:sz="0" w:space="0" w:color="auto"/>
        <w:right w:val="none" w:sz="0" w:space="0" w:color="auto"/>
      </w:divBdr>
    </w:div>
    <w:div w:id="1522431042">
      <w:marLeft w:val="0"/>
      <w:marRight w:val="0"/>
      <w:marTop w:val="100"/>
      <w:marBottom w:val="0"/>
      <w:divBdr>
        <w:top w:val="none" w:sz="0" w:space="0" w:color="auto"/>
        <w:left w:val="none" w:sz="0" w:space="0" w:color="auto"/>
        <w:bottom w:val="none" w:sz="0" w:space="0" w:color="auto"/>
        <w:right w:val="none" w:sz="0" w:space="0" w:color="auto"/>
      </w:divBdr>
    </w:div>
    <w:div w:id="1524856453">
      <w:marLeft w:val="0"/>
      <w:marRight w:val="0"/>
      <w:marTop w:val="100"/>
      <w:marBottom w:val="0"/>
      <w:divBdr>
        <w:top w:val="none" w:sz="0" w:space="0" w:color="auto"/>
        <w:left w:val="none" w:sz="0" w:space="0" w:color="auto"/>
        <w:bottom w:val="none" w:sz="0" w:space="0" w:color="auto"/>
        <w:right w:val="none" w:sz="0" w:space="0" w:color="auto"/>
      </w:divBdr>
    </w:div>
    <w:div w:id="1533954231">
      <w:marLeft w:val="0"/>
      <w:marRight w:val="0"/>
      <w:marTop w:val="280"/>
      <w:marBottom w:val="0"/>
      <w:divBdr>
        <w:top w:val="none" w:sz="0" w:space="0" w:color="auto"/>
        <w:left w:val="none" w:sz="0" w:space="0" w:color="auto"/>
        <w:bottom w:val="none" w:sz="0" w:space="0" w:color="auto"/>
        <w:right w:val="none" w:sz="0" w:space="0" w:color="auto"/>
      </w:divBdr>
    </w:div>
    <w:div w:id="1538590005">
      <w:marLeft w:val="0"/>
      <w:marRight w:val="0"/>
      <w:marTop w:val="0"/>
      <w:marBottom w:val="0"/>
      <w:divBdr>
        <w:top w:val="none" w:sz="0" w:space="0" w:color="auto"/>
        <w:left w:val="none" w:sz="0" w:space="0" w:color="auto"/>
        <w:bottom w:val="none" w:sz="0" w:space="0" w:color="auto"/>
        <w:right w:val="none" w:sz="0" w:space="0" w:color="auto"/>
      </w:divBdr>
      <w:divsChild>
        <w:div w:id="684936927">
          <w:marLeft w:val="0"/>
          <w:marRight w:val="0"/>
          <w:marTop w:val="0"/>
          <w:marBottom w:val="0"/>
          <w:divBdr>
            <w:top w:val="none" w:sz="0" w:space="0" w:color="auto"/>
            <w:left w:val="none" w:sz="0" w:space="0" w:color="auto"/>
            <w:bottom w:val="none" w:sz="0" w:space="0" w:color="auto"/>
            <w:right w:val="none" w:sz="0" w:space="0" w:color="auto"/>
          </w:divBdr>
        </w:div>
      </w:divsChild>
    </w:div>
    <w:div w:id="1542396535">
      <w:marLeft w:val="0"/>
      <w:marRight w:val="0"/>
      <w:marTop w:val="100"/>
      <w:marBottom w:val="160"/>
      <w:divBdr>
        <w:top w:val="none" w:sz="0" w:space="0" w:color="auto"/>
        <w:left w:val="none" w:sz="0" w:space="0" w:color="auto"/>
        <w:bottom w:val="none" w:sz="0" w:space="0" w:color="auto"/>
        <w:right w:val="none" w:sz="0" w:space="0" w:color="auto"/>
      </w:divBdr>
    </w:div>
    <w:div w:id="1544244718">
      <w:marLeft w:val="0"/>
      <w:marRight w:val="0"/>
      <w:marTop w:val="0"/>
      <w:marBottom w:val="0"/>
      <w:divBdr>
        <w:top w:val="none" w:sz="0" w:space="0" w:color="auto"/>
        <w:left w:val="none" w:sz="0" w:space="0" w:color="auto"/>
        <w:bottom w:val="none" w:sz="0" w:space="0" w:color="auto"/>
        <w:right w:val="none" w:sz="0" w:space="0" w:color="auto"/>
      </w:divBdr>
    </w:div>
    <w:div w:id="1546334344">
      <w:marLeft w:val="0"/>
      <w:marRight w:val="0"/>
      <w:marTop w:val="0"/>
      <w:marBottom w:val="0"/>
      <w:divBdr>
        <w:top w:val="none" w:sz="0" w:space="0" w:color="auto"/>
        <w:left w:val="none" w:sz="0" w:space="0" w:color="auto"/>
        <w:bottom w:val="none" w:sz="0" w:space="0" w:color="auto"/>
        <w:right w:val="none" w:sz="0" w:space="0" w:color="auto"/>
      </w:divBdr>
    </w:div>
    <w:div w:id="1547135451">
      <w:marLeft w:val="0"/>
      <w:marRight w:val="0"/>
      <w:marTop w:val="0"/>
      <w:marBottom w:val="0"/>
      <w:divBdr>
        <w:top w:val="none" w:sz="0" w:space="0" w:color="auto"/>
        <w:left w:val="none" w:sz="0" w:space="0" w:color="auto"/>
        <w:bottom w:val="none" w:sz="0" w:space="0" w:color="auto"/>
        <w:right w:val="none" w:sz="0" w:space="0" w:color="auto"/>
      </w:divBdr>
      <w:divsChild>
        <w:div w:id="1074937669">
          <w:marLeft w:val="0"/>
          <w:marRight w:val="0"/>
          <w:marTop w:val="0"/>
          <w:marBottom w:val="0"/>
          <w:divBdr>
            <w:top w:val="none" w:sz="0" w:space="0" w:color="auto"/>
            <w:left w:val="none" w:sz="0" w:space="0" w:color="auto"/>
            <w:bottom w:val="none" w:sz="0" w:space="0" w:color="auto"/>
            <w:right w:val="none" w:sz="0" w:space="0" w:color="auto"/>
          </w:divBdr>
        </w:div>
      </w:divsChild>
    </w:div>
    <w:div w:id="1547183144">
      <w:marLeft w:val="0"/>
      <w:marRight w:val="0"/>
      <w:marTop w:val="100"/>
      <w:marBottom w:val="100"/>
      <w:divBdr>
        <w:top w:val="none" w:sz="0" w:space="0" w:color="auto"/>
        <w:left w:val="none" w:sz="0" w:space="0" w:color="auto"/>
        <w:bottom w:val="none" w:sz="0" w:space="0" w:color="auto"/>
        <w:right w:val="none" w:sz="0" w:space="0" w:color="auto"/>
      </w:divBdr>
    </w:div>
    <w:div w:id="1559902717">
      <w:marLeft w:val="0"/>
      <w:marRight w:val="0"/>
      <w:marTop w:val="280"/>
      <w:marBottom w:val="0"/>
      <w:divBdr>
        <w:top w:val="none" w:sz="0" w:space="0" w:color="auto"/>
        <w:left w:val="none" w:sz="0" w:space="0" w:color="auto"/>
        <w:bottom w:val="none" w:sz="0" w:space="0" w:color="auto"/>
        <w:right w:val="none" w:sz="0" w:space="0" w:color="auto"/>
      </w:divBdr>
    </w:div>
    <w:div w:id="1563710504">
      <w:marLeft w:val="0"/>
      <w:marRight w:val="0"/>
      <w:marTop w:val="0"/>
      <w:marBottom w:val="0"/>
      <w:divBdr>
        <w:top w:val="none" w:sz="0" w:space="0" w:color="auto"/>
        <w:left w:val="none" w:sz="0" w:space="0" w:color="auto"/>
        <w:bottom w:val="none" w:sz="0" w:space="0" w:color="auto"/>
        <w:right w:val="none" w:sz="0" w:space="0" w:color="auto"/>
      </w:divBdr>
    </w:div>
    <w:div w:id="1563953664">
      <w:marLeft w:val="0"/>
      <w:marRight w:val="0"/>
      <w:marTop w:val="100"/>
      <w:marBottom w:val="0"/>
      <w:divBdr>
        <w:top w:val="none" w:sz="0" w:space="0" w:color="auto"/>
        <w:left w:val="none" w:sz="0" w:space="0" w:color="auto"/>
        <w:bottom w:val="none" w:sz="0" w:space="0" w:color="auto"/>
        <w:right w:val="none" w:sz="0" w:space="0" w:color="auto"/>
      </w:divBdr>
    </w:div>
    <w:div w:id="1572619423">
      <w:marLeft w:val="0"/>
      <w:marRight w:val="0"/>
      <w:marTop w:val="280"/>
      <w:marBottom w:val="0"/>
      <w:divBdr>
        <w:top w:val="none" w:sz="0" w:space="0" w:color="auto"/>
        <w:left w:val="none" w:sz="0" w:space="0" w:color="auto"/>
        <w:bottom w:val="none" w:sz="0" w:space="0" w:color="auto"/>
        <w:right w:val="none" w:sz="0" w:space="0" w:color="auto"/>
      </w:divBdr>
    </w:div>
    <w:div w:id="1572933694">
      <w:marLeft w:val="0"/>
      <w:marRight w:val="0"/>
      <w:marTop w:val="100"/>
      <w:marBottom w:val="0"/>
      <w:divBdr>
        <w:top w:val="none" w:sz="0" w:space="0" w:color="auto"/>
        <w:left w:val="none" w:sz="0" w:space="0" w:color="auto"/>
        <w:bottom w:val="none" w:sz="0" w:space="0" w:color="auto"/>
        <w:right w:val="none" w:sz="0" w:space="0" w:color="auto"/>
      </w:divBdr>
    </w:div>
    <w:div w:id="1574510292">
      <w:marLeft w:val="0"/>
      <w:marRight w:val="0"/>
      <w:marTop w:val="100"/>
      <w:marBottom w:val="0"/>
      <w:divBdr>
        <w:top w:val="none" w:sz="0" w:space="0" w:color="auto"/>
        <w:left w:val="none" w:sz="0" w:space="0" w:color="auto"/>
        <w:bottom w:val="none" w:sz="0" w:space="0" w:color="auto"/>
        <w:right w:val="none" w:sz="0" w:space="0" w:color="auto"/>
      </w:divBdr>
    </w:div>
    <w:div w:id="1583248694">
      <w:marLeft w:val="0"/>
      <w:marRight w:val="0"/>
      <w:marTop w:val="100"/>
      <w:marBottom w:val="0"/>
      <w:divBdr>
        <w:top w:val="none" w:sz="0" w:space="0" w:color="auto"/>
        <w:left w:val="none" w:sz="0" w:space="0" w:color="auto"/>
        <w:bottom w:val="none" w:sz="0" w:space="0" w:color="auto"/>
        <w:right w:val="none" w:sz="0" w:space="0" w:color="auto"/>
      </w:divBdr>
    </w:div>
    <w:div w:id="1589383334">
      <w:marLeft w:val="0"/>
      <w:marRight w:val="0"/>
      <w:marTop w:val="280"/>
      <w:marBottom w:val="0"/>
      <w:divBdr>
        <w:top w:val="none" w:sz="0" w:space="0" w:color="auto"/>
        <w:left w:val="none" w:sz="0" w:space="0" w:color="auto"/>
        <w:bottom w:val="none" w:sz="0" w:space="0" w:color="auto"/>
        <w:right w:val="none" w:sz="0" w:space="0" w:color="auto"/>
      </w:divBdr>
    </w:div>
    <w:div w:id="1590383542">
      <w:marLeft w:val="0"/>
      <w:marRight w:val="0"/>
      <w:marTop w:val="100"/>
      <w:marBottom w:val="0"/>
      <w:divBdr>
        <w:top w:val="none" w:sz="0" w:space="0" w:color="auto"/>
        <w:left w:val="none" w:sz="0" w:space="0" w:color="auto"/>
        <w:bottom w:val="none" w:sz="0" w:space="0" w:color="auto"/>
        <w:right w:val="none" w:sz="0" w:space="0" w:color="auto"/>
      </w:divBdr>
    </w:div>
    <w:div w:id="1596788544">
      <w:marLeft w:val="0"/>
      <w:marRight w:val="0"/>
      <w:marTop w:val="280"/>
      <w:marBottom w:val="0"/>
      <w:divBdr>
        <w:top w:val="none" w:sz="0" w:space="0" w:color="auto"/>
        <w:left w:val="none" w:sz="0" w:space="0" w:color="auto"/>
        <w:bottom w:val="none" w:sz="0" w:space="0" w:color="auto"/>
        <w:right w:val="none" w:sz="0" w:space="0" w:color="auto"/>
      </w:divBdr>
    </w:div>
    <w:div w:id="1598174992">
      <w:marLeft w:val="0"/>
      <w:marRight w:val="0"/>
      <w:marTop w:val="100"/>
      <w:marBottom w:val="0"/>
      <w:divBdr>
        <w:top w:val="none" w:sz="0" w:space="0" w:color="auto"/>
        <w:left w:val="none" w:sz="0" w:space="0" w:color="auto"/>
        <w:bottom w:val="none" w:sz="0" w:space="0" w:color="auto"/>
        <w:right w:val="none" w:sz="0" w:space="0" w:color="auto"/>
      </w:divBdr>
    </w:div>
    <w:div w:id="1598824086">
      <w:marLeft w:val="0"/>
      <w:marRight w:val="0"/>
      <w:marTop w:val="100"/>
      <w:marBottom w:val="0"/>
      <w:divBdr>
        <w:top w:val="none" w:sz="0" w:space="0" w:color="auto"/>
        <w:left w:val="none" w:sz="0" w:space="0" w:color="auto"/>
        <w:bottom w:val="none" w:sz="0" w:space="0" w:color="auto"/>
        <w:right w:val="none" w:sz="0" w:space="0" w:color="auto"/>
      </w:divBdr>
    </w:div>
    <w:div w:id="1600217966">
      <w:marLeft w:val="0"/>
      <w:marRight w:val="0"/>
      <w:marTop w:val="100"/>
      <w:marBottom w:val="0"/>
      <w:divBdr>
        <w:top w:val="none" w:sz="0" w:space="0" w:color="auto"/>
        <w:left w:val="none" w:sz="0" w:space="0" w:color="auto"/>
        <w:bottom w:val="none" w:sz="0" w:space="0" w:color="auto"/>
        <w:right w:val="none" w:sz="0" w:space="0" w:color="auto"/>
      </w:divBdr>
    </w:div>
    <w:div w:id="1601332269">
      <w:marLeft w:val="0"/>
      <w:marRight w:val="0"/>
      <w:marTop w:val="280"/>
      <w:marBottom w:val="0"/>
      <w:divBdr>
        <w:top w:val="none" w:sz="0" w:space="0" w:color="auto"/>
        <w:left w:val="none" w:sz="0" w:space="0" w:color="auto"/>
        <w:bottom w:val="none" w:sz="0" w:space="0" w:color="auto"/>
        <w:right w:val="none" w:sz="0" w:space="0" w:color="auto"/>
      </w:divBdr>
    </w:div>
    <w:div w:id="1603026228">
      <w:marLeft w:val="0"/>
      <w:marRight w:val="0"/>
      <w:marTop w:val="280"/>
      <w:marBottom w:val="0"/>
      <w:divBdr>
        <w:top w:val="none" w:sz="0" w:space="0" w:color="auto"/>
        <w:left w:val="none" w:sz="0" w:space="0" w:color="auto"/>
        <w:bottom w:val="none" w:sz="0" w:space="0" w:color="auto"/>
        <w:right w:val="none" w:sz="0" w:space="0" w:color="auto"/>
      </w:divBdr>
    </w:div>
    <w:div w:id="1603954212">
      <w:marLeft w:val="0"/>
      <w:marRight w:val="0"/>
      <w:marTop w:val="100"/>
      <w:marBottom w:val="0"/>
      <w:divBdr>
        <w:top w:val="none" w:sz="0" w:space="0" w:color="auto"/>
        <w:left w:val="none" w:sz="0" w:space="0" w:color="auto"/>
        <w:bottom w:val="none" w:sz="0" w:space="0" w:color="auto"/>
        <w:right w:val="none" w:sz="0" w:space="0" w:color="auto"/>
      </w:divBdr>
    </w:div>
    <w:div w:id="1606769134">
      <w:marLeft w:val="0"/>
      <w:marRight w:val="0"/>
      <w:marTop w:val="100"/>
      <w:marBottom w:val="0"/>
      <w:divBdr>
        <w:top w:val="none" w:sz="0" w:space="0" w:color="auto"/>
        <w:left w:val="none" w:sz="0" w:space="0" w:color="auto"/>
        <w:bottom w:val="none" w:sz="0" w:space="0" w:color="auto"/>
        <w:right w:val="none" w:sz="0" w:space="0" w:color="auto"/>
      </w:divBdr>
    </w:div>
    <w:div w:id="1612669248">
      <w:marLeft w:val="0"/>
      <w:marRight w:val="0"/>
      <w:marTop w:val="0"/>
      <w:marBottom w:val="0"/>
      <w:divBdr>
        <w:top w:val="none" w:sz="0" w:space="0" w:color="auto"/>
        <w:left w:val="none" w:sz="0" w:space="0" w:color="auto"/>
        <w:bottom w:val="none" w:sz="0" w:space="0" w:color="auto"/>
        <w:right w:val="none" w:sz="0" w:space="0" w:color="auto"/>
      </w:divBdr>
      <w:divsChild>
        <w:div w:id="859858056">
          <w:marLeft w:val="0"/>
          <w:marRight w:val="0"/>
          <w:marTop w:val="0"/>
          <w:marBottom w:val="0"/>
          <w:divBdr>
            <w:top w:val="none" w:sz="0" w:space="0" w:color="auto"/>
            <w:left w:val="none" w:sz="0" w:space="0" w:color="auto"/>
            <w:bottom w:val="none" w:sz="0" w:space="0" w:color="auto"/>
            <w:right w:val="none" w:sz="0" w:space="0" w:color="auto"/>
          </w:divBdr>
        </w:div>
      </w:divsChild>
    </w:div>
    <w:div w:id="1627005146">
      <w:marLeft w:val="0"/>
      <w:marRight w:val="0"/>
      <w:marTop w:val="100"/>
      <w:marBottom w:val="0"/>
      <w:divBdr>
        <w:top w:val="none" w:sz="0" w:space="0" w:color="auto"/>
        <w:left w:val="none" w:sz="0" w:space="0" w:color="auto"/>
        <w:bottom w:val="none" w:sz="0" w:space="0" w:color="auto"/>
        <w:right w:val="none" w:sz="0" w:space="0" w:color="auto"/>
      </w:divBdr>
    </w:div>
    <w:div w:id="1629316285">
      <w:marLeft w:val="0"/>
      <w:marRight w:val="0"/>
      <w:marTop w:val="100"/>
      <w:marBottom w:val="0"/>
      <w:divBdr>
        <w:top w:val="none" w:sz="0" w:space="0" w:color="auto"/>
        <w:left w:val="none" w:sz="0" w:space="0" w:color="auto"/>
        <w:bottom w:val="none" w:sz="0" w:space="0" w:color="auto"/>
        <w:right w:val="none" w:sz="0" w:space="0" w:color="auto"/>
      </w:divBdr>
    </w:div>
    <w:div w:id="1635134441">
      <w:marLeft w:val="0"/>
      <w:marRight w:val="0"/>
      <w:marTop w:val="100"/>
      <w:marBottom w:val="0"/>
      <w:divBdr>
        <w:top w:val="none" w:sz="0" w:space="0" w:color="auto"/>
        <w:left w:val="none" w:sz="0" w:space="0" w:color="auto"/>
        <w:bottom w:val="none" w:sz="0" w:space="0" w:color="auto"/>
        <w:right w:val="none" w:sz="0" w:space="0" w:color="auto"/>
      </w:divBdr>
      <w:divsChild>
        <w:div w:id="185869964">
          <w:marLeft w:val="0"/>
          <w:marRight w:val="0"/>
          <w:marTop w:val="0"/>
          <w:marBottom w:val="0"/>
          <w:divBdr>
            <w:top w:val="none" w:sz="0" w:space="0" w:color="auto"/>
            <w:left w:val="none" w:sz="0" w:space="0" w:color="auto"/>
            <w:bottom w:val="none" w:sz="0" w:space="0" w:color="auto"/>
            <w:right w:val="none" w:sz="0" w:space="0" w:color="auto"/>
          </w:divBdr>
        </w:div>
        <w:div w:id="1368023316">
          <w:marLeft w:val="0"/>
          <w:marRight w:val="0"/>
          <w:marTop w:val="0"/>
          <w:marBottom w:val="0"/>
          <w:divBdr>
            <w:top w:val="none" w:sz="0" w:space="0" w:color="auto"/>
            <w:left w:val="none" w:sz="0" w:space="0" w:color="auto"/>
            <w:bottom w:val="none" w:sz="0" w:space="0" w:color="auto"/>
            <w:right w:val="none" w:sz="0" w:space="0" w:color="auto"/>
          </w:divBdr>
        </w:div>
      </w:divsChild>
    </w:div>
    <w:div w:id="1665277044">
      <w:marLeft w:val="0"/>
      <w:marRight w:val="0"/>
      <w:marTop w:val="100"/>
      <w:marBottom w:val="0"/>
      <w:divBdr>
        <w:top w:val="none" w:sz="0" w:space="0" w:color="auto"/>
        <w:left w:val="none" w:sz="0" w:space="0" w:color="auto"/>
        <w:bottom w:val="none" w:sz="0" w:space="0" w:color="auto"/>
        <w:right w:val="none" w:sz="0" w:space="0" w:color="auto"/>
      </w:divBdr>
    </w:div>
    <w:div w:id="1665359964">
      <w:marLeft w:val="0"/>
      <w:marRight w:val="0"/>
      <w:marTop w:val="280"/>
      <w:marBottom w:val="0"/>
      <w:divBdr>
        <w:top w:val="none" w:sz="0" w:space="0" w:color="auto"/>
        <w:left w:val="none" w:sz="0" w:space="0" w:color="auto"/>
        <w:bottom w:val="none" w:sz="0" w:space="0" w:color="auto"/>
        <w:right w:val="none" w:sz="0" w:space="0" w:color="auto"/>
      </w:divBdr>
    </w:div>
    <w:div w:id="1668627557">
      <w:marLeft w:val="0"/>
      <w:marRight w:val="0"/>
      <w:marTop w:val="280"/>
      <w:marBottom w:val="0"/>
      <w:divBdr>
        <w:top w:val="none" w:sz="0" w:space="0" w:color="auto"/>
        <w:left w:val="none" w:sz="0" w:space="0" w:color="auto"/>
        <w:bottom w:val="none" w:sz="0" w:space="0" w:color="auto"/>
        <w:right w:val="none" w:sz="0" w:space="0" w:color="auto"/>
      </w:divBdr>
    </w:div>
    <w:div w:id="1672947476">
      <w:marLeft w:val="0"/>
      <w:marRight w:val="0"/>
      <w:marTop w:val="100"/>
      <w:marBottom w:val="0"/>
      <w:divBdr>
        <w:top w:val="none" w:sz="0" w:space="0" w:color="auto"/>
        <w:left w:val="none" w:sz="0" w:space="0" w:color="auto"/>
        <w:bottom w:val="none" w:sz="0" w:space="0" w:color="auto"/>
        <w:right w:val="none" w:sz="0" w:space="0" w:color="auto"/>
      </w:divBdr>
    </w:div>
    <w:div w:id="1673802047">
      <w:marLeft w:val="0"/>
      <w:marRight w:val="0"/>
      <w:marTop w:val="0"/>
      <w:marBottom w:val="0"/>
      <w:divBdr>
        <w:top w:val="none" w:sz="0" w:space="0" w:color="auto"/>
        <w:left w:val="none" w:sz="0" w:space="0" w:color="auto"/>
        <w:bottom w:val="none" w:sz="0" w:space="0" w:color="auto"/>
        <w:right w:val="none" w:sz="0" w:space="0" w:color="auto"/>
      </w:divBdr>
    </w:div>
    <w:div w:id="1673989367">
      <w:marLeft w:val="0"/>
      <w:marRight w:val="0"/>
      <w:marTop w:val="100"/>
      <w:marBottom w:val="0"/>
      <w:divBdr>
        <w:top w:val="none" w:sz="0" w:space="0" w:color="auto"/>
        <w:left w:val="none" w:sz="0" w:space="0" w:color="auto"/>
        <w:bottom w:val="none" w:sz="0" w:space="0" w:color="auto"/>
        <w:right w:val="none" w:sz="0" w:space="0" w:color="auto"/>
      </w:divBdr>
    </w:div>
    <w:div w:id="1676566404">
      <w:marLeft w:val="0"/>
      <w:marRight w:val="0"/>
      <w:marTop w:val="60"/>
      <w:marBottom w:val="0"/>
      <w:divBdr>
        <w:top w:val="none" w:sz="0" w:space="0" w:color="auto"/>
        <w:left w:val="none" w:sz="0" w:space="0" w:color="auto"/>
        <w:bottom w:val="none" w:sz="0" w:space="0" w:color="auto"/>
        <w:right w:val="none" w:sz="0" w:space="0" w:color="auto"/>
      </w:divBdr>
    </w:div>
    <w:div w:id="1682780147">
      <w:marLeft w:val="0"/>
      <w:marRight w:val="0"/>
      <w:marTop w:val="100"/>
      <w:marBottom w:val="0"/>
      <w:divBdr>
        <w:top w:val="none" w:sz="0" w:space="0" w:color="auto"/>
        <w:left w:val="none" w:sz="0" w:space="0" w:color="auto"/>
        <w:bottom w:val="none" w:sz="0" w:space="0" w:color="auto"/>
        <w:right w:val="none" w:sz="0" w:space="0" w:color="auto"/>
      </w:divBdr>
      <w:divsChild>
        <w:div w:id="1199393566">
          <w:marLeft w:val="0"/>
          <w:marRight w:val="0"/>
          <w:marTop w:val="0"/>
          <w:marBottom w:val="0"/>
          <w:divBdr>
            <w:top w:val="none" w:sz="0" w:space="0" w:color="auto"/>
            <w:left w:val="none" w:sz="0" w:space="0" w:color="auto"/>
            <w:bottom w:val="none" w:sz="0" w:space="0" w:color="auto"/>
            <w:right w:val="none" w:sz="0" w:space="0" w:color="auto"/>
          </w:divBdr>
        </w:div>
      </w:divsChild>
    </w:div>
    <w:div w:id="1688094856">
      <w:marLeft w:val="0"/>
      <w:marRight w:val="0"/>
      <w:marTop w:val="100"/>
      <w:marBottom w:val="0"/>
      <w:divBdr>
        <w:top w:val="none" w:sz="0" w:space="0" w:color="auto"/>
        <w:left w:val="none" w:sz="0" w:space="0" w:color="auto"/>
        <w:bottom w:val="none" w:sz="0" w:space="0" w:color="auto"/>
        <w:right w:val="none" w:sz="0" w:space="0" w:color="auto"/>
      </w:divBdr>
    </w:div>
    <w:div w:id="1691372202">
      <w:marLeft w:val="0"/>
      <w:marRight w:val="0"/>
      <w:marTop w:val="0"/>
      <w:marBottom w:val="0"/>
      <w:divBdr>
        <w:top w:val="none" w:sz="0" w:space="0" w:color="auto"/>
        <w:left w:val="none" w:sz="0" w:space="0" w:color="auto"/>
        <w:bottom w:val="none" w:sz="0" w:space="0" w:color="auto"/>
        <w:right w:val="none" w:sz="0" w:space="0" w:color="auto"/>
      </w:divBdr>
    </w:div>
    <w:div w:id="1694377005">
      <w:marLeft w:val="0"/>
      <w:marRight w:val="0"/>
      <w:marTop w:val="0"/>
      <w:marBottom w:val="0"/>
      <w:divBdr>
        <w:top w:val="none" w:sz="0" w:space="0" w:color="auto"/>
        <w:left w:val="none" w:sz="0" w:space="0" w:color="auto"/>
        <w:bottom w:val="none" w:sz="0" w:space="0" w:color="auto"/>
        <w:right w:val="none" w:sz="0" w:space="0" w:color="auto"/>
      </w:divBdr>
      <w:divsChild>
        <w:div w:id="2088187013">
          <w:marLeft w:val="0"/>
          <w:marRight w:val="0"/>
          <w:marTop w:val="0"/>
          <w:marBottom w:val="0"/>
          <w:divBdr>
            <w:top w:val="none" w:sz="0" w:space="0" w:color="auto"/>
            <w:left w:val="none" w:sz="0" w:space="0" w:color="auto"/>
            <w:bottom w:val="none" w:sz="0" w:space="0" w:color="auto"/>
            <w:right w:val="none" w:sz="0" w:space="0" w:color="auto"/>
          </w:divBdr>
        </w:div>
      </w:divsChild>
    </w:div>
    <w:div w:id="1697848380">
      <w:marLeft w:val="0"/>
      <w:marRight w:val="0"/>
      <w:marTop w:val="280"/>
      <w:marBottom w:val="0"/>
      <w:divBdr>
        <w:top w:val="none" w:sz="0" w:space="0" w:color="auto"/>
        <w:left w:val="none" w:sz="0" w:space="0" w:color="auto"/>
        <w:bottom w:val="none" w:sz="0" w:space="0" w:color="auto"/>
        <w:right w:val="none" w:sz="0" w:space="0" w:color="auto"/>
      </w:divBdr>
    </w:div>
    <w:div w:id="1698002425">
      <w:marLeft w:val="0"/>
      <w:marRight w:val="0"/>
      <w:marTop w:val="0"/>
      <w:marBottom w:val="0"/>
      <w:divBdr>
        <w:top w:val="none" w:sz="0" w:space="0" w:color="auto"/>
        <w:left w:val="none" w:sz="0" w:space="0" w:color="auto"/>
        <w:bottom w:val="none" w:sz="0" w:space="0" w:color="auto"/>
        <w:right w:val="none" w:sz="0" w:space="0" w:color="auto"/>
      </w:divBdr>
      <w:divsChild>
        <w:div w:id="1535653267">
          <w:marLeft w:val="0"/>
          <w:marRight w:val="0"/>
          <w:marTop w:val="0"/>
          <w:marBottom w:val="0"/>
          <w:divBdr>
            <w:top w:val="none" w:sz="0" w:space="0" w:color="auto"/>
            <w:left w:val="none" w:sz="0" w:space="0" w:color="auto"/>
            <w:bottom w:val="none" w:sz="0" w:space="0" w:color="auto"/>
            <w:right w:val="none" w:sz="0" w:space="0" w:color="auto"/>
          </w:divBdr>
        </w:div>
      </w:divsChild>
    </w:div>
    <w:div w:id="1702123584">
      <w:marLeft w:val="0"/>
      <w:marRight w:val="0"/>
      <w:marTop w:val="100"/>
      <w:marBottom w:val="0"/>
      <w:divBdr>
        <w:top w:val="none" w:sz="0" w:space="0" w:color="auto"/>
        <w:left w:val="none" w:sz="0" w:space="0" w:color="auto"/>
        <w:bottom w:val="none" w:sz="0" w:space="0" w:color="auto"/>
        <w:right w:val="none" w:sz="0" w:space="0" w:color="auto"/>
      </w:divBdr>
    </w:div>
    <w:div w:id="1704793860">
      <w:marLeft w:val="0"/>
      <w:marRight w:val="0"/>
      <w:marTop w:val="0"/>
      <w:marBottom w:val="0"/>
      <w:divBdr>
        <w:top w:val="none" w:sz="0" w:space="0" w:color="auto"/>
        <w:left w:val="none" w:sz="0" w:space="0" w:color="auto"/>
        <w:bottom w:val="none" w:sz="0" w:space="0" w:color="auto"/>
        <w:right w:val="none" w:sz="0" w:space="0" w:color="auto"/>
      </w:divBdr>
    </w:div>
    <w:div w:id="1716269694">
      <w:marLeft w:val="0"/>
      <w:marRight w:val="0"/>
      <w:marTop w:val="100"/>
      <w:marBottom w:val="0"/>
      <w:divBdr>
        <w:top w:val="none" w:sz="0" w:space="0" w:color="auto"/>
        <w:left w:val="none" w:sz="0" w:space="0" w:color="auto"/>
        <w:bottom w:val="none" w:sz="0" w:space="0" w:color="auto"/>
        <w:right w:val="none" w:sz="0" w:space="0" w:color="auto"/>
      </w:divBdr>
    </w:div>
    <w:div w:id="1722361262">
      <w:marLeft w:val="0"/>
      <w:marRight w:val="0"/>
      <w:marTop w:val="100"/>
      <w:marBottom w:val="0"/>
      <w:divBdr>
        <w:top w:val="none" w:sz="0" w:space="0" w:color="auto"/>
        <w:left w:val="none" w:sz="0" w:space="0" w:color="auto"/>
        <w:bottom w:val="none" w:sz="0" w:space="0" w:color="auto"/>
        <w:right w:val="none" w:sz="0" w:space="0" w:color="auto"/>
      </w:divBdr>
    </w:div>
    <w:div w:id="1723749256">
      <w:marLeft w:val="0"/>
      <w:marRight w:val="0"/>
      <w:marTop w:val="100"/>
      <w:marBottom w:val="0"/>
      <w:divBdr>
        <w:top w:val="none" w:sz="0" w:space="0" w:color="auto"/>
        <w:left w:val="none" w:sz="0" w:space="0" w:color="auto"/>
        <w:bottom w:val="none" w:sz="0" w:space="0" w:color="auto"/>
        <w:right w:val="none" w:sz="0" w:space="0" w:color="auto"/>
      </w:divBdr>
    </w:div>
    <w:div w:id="1724333970">
      <w:marLeft w:val="0"/>
      <w:marRight w:val="0"/>
      <w:marTop w:val="0"/>
      <w:marBottom w:val="0"/>
      <w:divBdr>
        <w:top w:val="none" w:sz="0" w:space="0" w:color="auto"/>
        <w:left w:val="none" w:sz="0" w:space="0" w:color="auto"/>
        <w:bottom w:val="none" w:sz="0" w:space="0" w:color="auto"/>
        <w:right w:val="none" w:sz="0" w:space="0" w:color="auto"/>
      </w:divBdr>
      <w:divsChild>
        <w:div w:id="244152451">
          <w:marLeft w:val="0"/>
          <w:marRight w:val="0"/>
          <w:marTop w:val="0"/>
          <w:marBottom w:val="0"/>
          <w:divBdr>
            <w:top w:val="none" w:sz="0" w:space="0" w:color="auto"/>
            <w:left w:val="none" w:sz="0" w:space="0" w:color="auto"/>
            <w:bottom w:val="none" w:sz="0" w:space="0" w:color="auto"/>
            <w:right w:val="none" w:sz="0" w:space="0" w:color="auto"/>
          </w:divBdr>
        </w:div>
      </w:divsChild>
    </w:div>
    <w:div w:id="1725789771">
      <w:marLeft w:val="0"/>
      <w:marRight w:val="0"/>
      <w:marTop w:val="0"/>
      <w:marBottom w:val="100"/>
      <w:divBdr>
        <w:top w:val="none" w:sz="0" w:space="0" w:color="auto"/>
        <w:left w:val="none" w:sz="0" w:space="0" w:color="auto"/>
        <w:bottom w:val="none" w:sz="0" w:space="0" w:color="auto"/>
        <w:right w:val="none" w:sz="0" w:space="0" w:color="auto"/>
      </w:divBdr>
    </w:div>
    <w:div w:id="1729182109">
      <w:marLeft w:val="0"/>
      <w:marRight w:val="0"/>
      <w:marTop w:val="0"/>
      <w:marBottom w:val="0"/>
      <w:divBdr>
        <w:top w:val="none" w:sz="0" w:space="0" w:color="auto"/>
        <w:left w:val="none" w:sz="0" w:space="0" w:color="auto"/>
        <w:bottom w:val="none" w:sz="0" w:space="0" w:color="auto"/>
        <w:right w:val="none" w:sz="0" w:space="0" w:color="auto"/>
      </w:divBdr>
      <w:divsChild>
        <w:div w:id="458380753">
          <w:marLeft w:val="0"/>
          <w:marRight w:val="0"/>
          <w:marTop w:val="0"/>
          <w:marBottom w:val="0"/>
          <w:divBdr>
            <w:top w:val="none" w:sz="0" w:space="0" w:color="auto"/>
            <w:left w:val="none" w:sz="0" w:space="0" w:color="auto"/>
            <w:bottom w:val="none" w:sz="0" w:space="0" w:color="auto"/>
            <w:right w:val="none" w:sz="0" w:space="0" w:color="auto"/>
          </w:divBdr>
        </w:div>
      </w:divsChild>
    </w:div>
    <w:div w:id="1729261987">
      <w:marLeft w:val="0"/>
      <w:marRight w:val="0"/>
      <w:marTop w:val="0"/>
      <w:marBottom w:val="0"/>
      <w:divBdr>
        <w:top w:val="none" w:sz="0" w:space="0" w:color="auto"/>
        <w:left w:val="none" w:sz="0" w:space="0" w:color="auto"/>
        <w:bottom w:val="none" w:sz="0" w:space="0" w:color="auto"/>
        <w:right w:val="none" w:sz="0" w:space="0" w:color="auto"/>
      </w:divBdr>
      <w:divsChild>
        <w:div w:id="572395400">
          <w:marLeft w:val="0"/>
          <w:marRight w:val="0"/>
          <w:marTop w:val="0"/>
          <w:marBottom w:val="0"/>
          <w:divBdr>
            <w:top w:val="none" w:sz="0" w:space="0" w:color="auto"/>
            <w:left w:val="none" w:sz="0" w:space="0" w:color="auto"/>
            <w:bottom w:val="none" w:sz="0" w:space="0" w:color="auto"/>
            <w:right w:val="none" w:sz="0" w:space="0" w:color="auto"/>
          </w:divBdr>
        </w:div>
      </w:divsChild>
    </w:div>
    <w:div w:id="1732119536">
      <w:marLeft w:val="0"/>
      <w:marRight w:val="0"/>
      <w:marTop w:val="280"/>
      <w:marBottom w:val="0"/>
      <w:divBdr>
        <w:top w:val="none" w:sz="0" w:space="0" w:color="auto"/>
        <w:left w:val="none" w:sz="0" w:space="0" w:color="auto"/>
        <w:bottom w:val="none" w:sz="0" w:space="0" w:color="auto"/>
        <w:right w:val="none" w:sz="0" w:space="0" w:color="auto"/>
      </w:divBdr>
    </w:div>
    <w:div w:id="1737513927">
      <w:marLeft w:val="0"/>
      <w:marRight w:val="0"/>
      <w:marTop w:val="100"/>
      <w:marBottom w:val="0"/>
      <w:divBdr>
        <w:top w:val="none" w:sz="0" w:space="0" w:color="auto"/>
        <w:left w:val="none" w:sz="0" w:space="0" w:color="auto"/>
        <w:bottom w:val="none" w:sz="0" w:space="0" w:color="auto"/>
        <w:right w:val="none" w:sz="0" w:space="0" w:color="auto"/>
      </w:divBdr>
    </w:div>
    <w:div w:id="1739473947">
      <w:marLeft w:val="0"/>
      <w:marRight w:val="0"/>
      <w:marTop w:val="240"/>
      <w:marBottom w:val="160"/>
      <w:divBdr>
        <w:top w:val="none" w:sz="0" w:space="0" w:color="auto"/>
        <w:left w:val="none" w:sz="0" w:space="0" w:color="auto"/>
        <w:bottom w:val="none" w:sz="0" w:space="0" w:color="auto"/>
        <w:right w:val="none" w:sz="0" w:space="0" w:color="auto"/>
      </w:divBdr>
    </w:div>
    <w:div w:id="1745444774">
      <w:marLeft w:val="0"/>
      <w:marRight w:val="0"/>
      <w:marTop w:val="0"/>
      <w:marBottom w:val="0"/>
      <w:divBdr>
        <w:top w:val="none" w:sz="0" w:space="0" w:color="auto"/>
        <w:left w:val="none" w:sz="0" w:space="0" w:color="auto"/>
        <w:bottom w:val="none" w:sz="0" w:space="0" w:color="auto"/>
        <w:right w:val="none" w:sz="0" w:space="0" w:color="auto"/>
      </w:divBdr>
    </w:div>
    <w:div w:id="1756702568">
      <w:marLeft w:val="0"/>
      <w:marRight w:val="0"/>
      <w:marTop w:val="100"/>
      <w:marBottom w:val="0"/>
      <w:divBdr>
        <w:top w:val="none" w:sz="0" w:space="0" w:color="auto"/>
        <w:left w:val="none" w:sz="0" w:space="0" w:color="auto"/>
        <w:bottom w:val="none" w:sz="0" w:space="0" w:color="auto"/>
        <w:right w:val="none" w:sz="0" w:space="0" w:color="auto"/>
      </w:divBdr>
    </w:div>
    <w:div w:id="1763069825">
      <w:marLeft w:val="0"/>
      <w:marRight w:val="0"/>
      <w:marTop w:val="280"/>
      <w:marBottom w:val="0"/>
      <w:divBdr>
        <w:top w:val="none" w:sz="0" w:space="0" w:color="auto"/>
        <w:left w:val="none" w:sz="0" w:space="0" w:color="auto"/>
        <w:bottom w:val="none" w:sz="0" w:space="0" w:color="auto"/>
        <w:right w:val="none" w:sz="0" w:space="0" w:color="auto"/>
      </w:divBdr>
    </w:div>
    <w:div w:id="1766221186">
      <w:marLeft w:val="0"/>
      <w:marRight w:val="0"/>
      <w:marTop w:val="280"/>
      <w:marBottom w:val="0"/>
      <w:divBdr>
        <w:top w:val="none" w:sz="0" w:space="0" w:color="auto"/>
        <w:left w:val="none" w:sz="0" w:space="0" w:color="auto"/>
        <w:bottom w:val="none" w:sz="0" w:space="0" w:color="auto"/>
        <w:right w:val="none" w:sz="0" w:space="0" w:color="auto"/>
      </w:divBdr>
    </w:div>
    <w:div w:id="1771656451">
      <w:marLeft w:val="0"/>
      <w:marRight w:val="0"/>
      <w:marTop w:val="100"/>
      <w:marBottom w:val="0"/>
      <w:divBdr>
        <w:top w:val="none" w:sz="0" w:space="0" w:color="auto"/>
        <w:left w:val="none" w:sz="0" w:space="0" w:color="auto"/>
        <w:bottom w:val="none" w:sz="0" w:space="0" w:color="auto"/>
        <w:right w:val="none" w:sz="0" w:space="0" w:color="auto"/>
      </w:divBdr>
    </w:div>
    <w:div w:id="1771854631">
      <w:marLeft w:val="0"/>
      <w:marRight w:val="0"/>
      <w:marTop w:val="0"/>
      <w:marBottom w:val="0"/>
      <w:divBdr>
        <w:top w:val="none" w:sz="0" w:space="0" w:color="auto"/>
        <w:left w:val="none" w:sz="0" w:space="0" w:color="auto"/>
        <w:bottom w:val="none" w:sz="0" w:space="0" w:color="auto"/>
        <w:right w:val="none" w:sz="0" w:space="0" w:color="auto"/>
      </w:divBdr>
    </w:div>
    <w:div w:id="1772626263">
      <w:marLeft w:val="0"/>
      <w:marRight w:val="0"/>
      <w:marTop w:val="280"/>
      <w:marBottom w:val="0"/>
      <w:divBdr>
        <w:top w:val="none" w:sz="0" w:space="0" w:color="auto"/>
        <w:left w:val="none" w:sz="0" w:space="0" w:color="auto"/>
        <w:bottom w:val="none" w:sz="0" w:space="0" w:color="auto"/>
        <w:right w:val="none" w:sz="0" w:space="0" w:color="auto"/>
      </w:divBdr>
    </w:div>
    <w:div w:id="1773470735">
      <w:marLeft w:val="0"/>
      <w:marRight w:val="0"/>
      <w:marTop w:val="100"/>
      <w:marBottom w:val="0"/>
      <w:divBdr>
        <w:top w:val="none" w:sz="0" w:space="0" w:color="auto"/>
        <w:left w:val="none" w:sz="0" w:space="0" w:color="auto"/>
        <w:bottom w:val="none" w:sz="0" w:space="0" w:color="auto"/>
        <w:right w:val="none" w:sz="0" w:space="0" w:color="auto"/>
      </w:divBdr>
      <w:divsChild>
        <w:div w:id="1923292103">
          <w:marLeft w:val="0"/>
          <w:marRight w:val="0"/>
          <w:marTop w:val="0"/>
          <w:marBottom w:val="0"/>
          <w:divBdr>
            <w:top w:val="none" w:sz="0" w:space="0" w:color="auto"/>
            <w:left w:val="none" w:sz="0" w:space="0" w:color="auto"/>
            <w:bottom w:val="none" w:sz="0" w:space="0" w:color="auto"/>
            <w:right w:val="none" w:sz="0" w:space="0" w:color="auto"/>
          </w:divBdr>
        </w:div>
      </w:divsChild>
    </w:div>
    <w:div w:id="1781416077">
      <w:marLeft w:val="0"/>
      <w:marRight w:val="0"/>
      <w:marTop w:val="100"/>
      <w:marBottom w:val="0"/>
      <w:divBdr>
        <w:top w:val="none" w:sz="0" w:space="0" w:color="auto"/>
        <w:left w:val="none" w:sz="0" w:space="0" w:color="auto"/>
        <w:bottom w:val="none" w:sz="0" w:space="0" w:color="auto"/>
        <w:right w:val="none" w:sz="0" w:space="0" w:color="auto"/>
      </w:divBdr>
    </w:div>
    <w:div w:id="1782989901">
      <w:marLeft w:val="0"/>
      <w:marRight w:val="0"/>
      <w:marTop w:val="40"/>
      <w:marBottom w:val="0"/>
      <w:divBdr>
        <w:top w:val="none" w:sz="0" w:space="0" w:color="auto"/>
        <w:left w:val="none" w:sz="0" w:space="0" w:color="auto"/>
        <w:bottom w:val="none" w:sz="0" w:space="0" w:color="auto"/>
        <w:right w:val="none" w:sz="0" w:space="0" w:color="auto"/>
      </w:divBdr>
    </w:div>
    <w:div w:id="1790270785">
      <w:marLeft w:val="0"/>
      <w:marRight w:val="0"/>
      <w:marTop w:val="100"/>
      <w:marBottom w:val="0"/>
      <w:divBdr>
        <w:top w:val="none" w:sz="0" w:space="0" w:color="auto"/>
        <w:left w:val="none" w:sz="0" w:space="0" w:color="auto"/>
        <w:bottom w:val="none" w:sz="0" w:space="0" w:color="auto"/>
        <w:right w:val="none" w:sz="0" w:space="0" w:color="auto"/>
      </w:divBdr>
    </w:div>
    <w:div w:id="1792821984">
      <w:marLeft w:val="0"/>
      <w:marRight w:val="0"/>
      <w:marTop w:val="280"/>
      <w:marBottom w:val="0"/>
      <w:divBdr>
        <w:top w:val="none" w:sz="0" w:space="0" w:color="auto"/>
        <w:left w:val="none" w:sz="0" w:space="0" w:color="auto"/>
        <w:bottom w:val="none" w:sz="0" w:space="0" w:color="auto"/>
        <w:right w:val="none" w:sz="0" w:space="0" w:color="auto"/>
      </w:divBdr>
    </w:div>
    <w:div w:id="1798840213">
      <w:marLeft w:val="0"/>
      <w:marRight w:val="0"/>
      <w:marTop w:val="100"/>
      <w:marBottom w:val="100"/>
      <w:divBdr>
        <w:top w:val="none" w:sz="0" w:space="0" w:color="auto"/>
        <w:left w:val="none" w:sz="0" w:space="0" w:color="auto"/>
        <w:bottom w:val="none" w:sz="0" w:space="0" w:color="auto"/>
        <w:right w:val="none" w:sz="0" w:space="0" w:color="auto"/>
      </w:divBdr>
    </w:div>
    <w:div w:id="1800803498">
      <w:marLeft w:val="0"/>
      <w:marRight w:val="0"/>
      <w:marTop w:val="100"/>
      <w:marBottom w:val="0"/>
      <w:divBdr>
        <w:top w:val="none" w:sz="0" w:space="0" w:color="auto"/>
        <w:left w:val="none" w:sz="0" w:space="0" w:color="auto"/>
        <w:bottom w:val="none" w:sz="0" w:space="0" w:color="auto"/>
        <w:right w:val="none" w:sz="0" w:space="0" w:color="auto"/>
      </w:divBdr>
    </w:div>
    <w:div w:id="1802765816">
      <w:marLeft w:val="0"/>
      <w:marRight w:val="0"/>
      <w:marTop w:val="0"/>
      <w:marBottom w:val="0"/>
      <w:divBdr>
        <w:top w:val="none" w:sz="0" w:space="0" w:color="auto"/>
        <w:left w:val="none" w:sz="0" w:space="0" w:color="auto"/>
        <w:bottom w:val="none" w:sz="0" w:space="0" w:color="auto"/>
        <w:right w:val="none" w:sz="0" w:space="0" w:color="auto"/>
      </w:divBdr>
      <w:divsChild>
        <w:div w:id="2111316690">
          <w:marLeft w:val="0"/>
          <w:marRight w:val="0"/>
          <w:marTop w:val="0"/>
          <w:marBottom w:val="0"/>
          <w:divBdr>
            <w:top w:val="none" w:sz="0" w:space="0" w:color="auto"/>
            <w:left w:val="none" w:sz="0" w:space="0" w:color="auto"/>
            <w:bottom w:val="none" w:sz="0" w:space="0" w:color="auto"/>
            <w:right w:val="none" w:sz="0" w:space="0" w:color="auto"/>
          </w:divBdr>
        </w:div>
      </w:divsChild>
    </w:div>
    <w:div w:id="1804619250">
      <w:marLeft w:val="0"/>
      <w:marRight w:val="0"/>
      <w:marTop w:val="100"/>
      <w:marBottom w:val="0"/>
      <w:divBdr>
        <w:top w:val="none" w:sz="0" w:space="0" w:color="auto"/>
        <w:left w:val="none" w:sz="0" w:space="0" w:color="auto"/>
        <w:bottom w:val="none" w:sz="0" w:space="0" w:color="auto"/>
        <w:right w:val="none" w:sz="0" w:space="0" w:color="auto"/>
      </w:divBdr>
    </w:div>
    <w:div w:id="1805392778">
      <w:marLeft w:val="0"/>
      <w:marRight w:val="0"/>
      <w:marTop w:val="60"/>
      <w:marBottom w:val="0"/>
      <w:divBdr>
        <w:top w:val="none" w:sz="0" w:space="0" w:color="auto"/>
        <w:left w:val="none" w:sz="0" w:space="0" w:color="auto"/>
        <w:bottom w:val="none" w:sz="0" w:space="0" w:color="auto"/>
        <w:right w:val="none" w:sz="0" w:space="0" w:color="auto"/>
      </w:divBdr>
    </w:div>
    <w:div w:id="1810509709">
      <w:marLeft w:val="0"/>
      <w:marRight w:val="0"/>
      <w:marTop w:val="0"/>
      <w:marBottom w:val="0"/>
      <w:divBdr>
        <w:top w:val="none" w:sz="0" w:space="0" w:color="auto"/>
        <w:left w:val="none" w:sz="0" w:space="0" w:color="auto"/>
        <w:bottom w:val="none" w:sz="0" w:space="0" w:color="auto"/>
        <w:right w:val="none" w:sz="0" w:space="0" w:color="auto"/>
      </w:divBdr>
      <w:divsChild>
        <w:div w:id="1325742230">
          <w:marLeft w:val="0"/>
          <w:marRight w:val="0"/>
          <w:marTop w:val="0"/>
          <w:marBottom w:val="0"/>
          <w:divBdr>
            <w:top w:val="none" w:sz="0" w:space="0" w:color="auto"/>
            <w:left w:val="none" w:sz="0" w:space="0" w:color="auto"/>
            <w:bottom w:val="none" w:sz="0" w:space="0" w:color="auto"/>
            <w:right w:val="none" w:sz="0" w:space="0" w:color="auto"/>
          </w:divBdr>
        </w:div>
      </w:divsChild>
    </w:div>
    <w:div w:id="1815877309">
      <w:marLeft w:val="0"/>
      <w:marRight w:val="0"/>
      <w:marTop w:val="0"/>
      <w:marBottom w:val="0"/>
      <w:divBdr>
        <w:top w:val="none" w:sz="0" w:space="0" w:color="auto"/>
        <w:left w:val="none" w:sz="0" w:space="0" w:color="auto"/>
        <w:bottom w:val="none" w:sz="0" w:space="0" w:color="auto"/>
        <w:right w:val="none" w:sz="0" w:space="0" w:color="auto"/>
      </w:divBdr>
    </w:div>
    <w:div w:id="1815953777">
      <w:marLeft w:val="0"/>
      <w:marRight w:val="0"/>
      <w:marTop w:val="0"/>
      <w:marBottom w:val="0"/>
      <w:divBdr>
        <w:top w:val="none" w:sz="0" w:space="0" w:color="auto"/>
        <w:left w:val="none" w:sz="0" w:space="0" w:color="auto"/>
        <w:bottom w:val="none" w:sz="0" w:space="0" w:color="auto"/>
        <w:right w:val="none" w:sz="0" w:space="0" w:color="auto"/>
      </w:divBdr>
      <w:divsChild>
        <w:div w:id="533810167">
          <w:marLeft w:val="0"/>
          <w:marRight w:val="0"/>
          <w:marTop w:val="0"/>
          <w:marBottom w:val="0"/>
          <w:divBdr>
            <w:top w:val="none" w:sz="0" w:space="0" w:color="auto"/>
            <w:left w:val="none" w:sz="0" w:space="0" w:color="auto"/>
            <w:bottom w:val="none" w:sz="0" w:space="0" w:color="auto"/>
            <w:right w:val="none" w:sz="0" w:space="0" w:color="auto"/>
          </w:divBdr>
        </w:div>
      </w:divsChild>
    </w:div>
    <w:div w:id="1818112734">
      <w:marLeft w:val="0"/>
      <w:marRight w:val="0"/>
      <w:marTop w:val="280"/>
      <w:marBottom w:val="0"/>
      <w:divBdr>
        <w:top w:val="none" w:sz="0" w:space="0" w:color="auto"/>
        <w:left w:val="none" w:sz="0" w:space="0" w:color="auto"/>
        <w:bottom w:val="none" w:sz="0" w:space="0" w:color="auto"/>
        <w:right w:val="none" w:sz="0" w:space="0" w:color="auto"/>
      </w:divBdr>
    </w:div>
    <w:div w:id="1820615669">
      <w:marLeft w:val="0"/>
      <w:marRight w:val="0"/>
      <w:marTop w:val="100"/>
      <w:marBottom w:val="0"/>
      <w:divBdr>
        <w:top w:val="none" w:sz="0" w:space="0" w:color="auto"/>
        <w:left w:val="none" w:sz="0" w:space="0" w:color="auto"/>
        <w:bottom w:val="none" w:sz="0" w:space="0" w:color="auto"/>
        <w:right w:val="none" w:sz="0" w:space="0" w:color="auto"/>
      </w:divBdr>
    </w:div>
    <w:div w:id="1824738089">
      <w:marLeft w:val="0"/>
      <w:marRight w:val="0"/>
      <w:marTop w:val="280"/>
      <w:marBottom w:val="0"/>
      <w:divBdr>
        <w:top w:val="none" w:sz="0" w:space="0" w:color="auto"/>
        <w:left w:val="none" w:sz="0" w:space="0" w:color="auto"/>
        <w:bottom w:val="none" w:sz="0" w:space="0" w:color="auto"/>
        <w:right w:val="none" w:sz="0" w:space="0" w:color="auto"/>
      </w:divBdr>
    </w:div>
    <w:div w:id="1827432059">
      <w:marLeft w:val="0"/>
      <w:marRight w:val="0"/>
      <w:marTop w:val="280"/>
      <w:marBottom w:val="0"/>
      <w:divBdr>
        <w:top w:val="none" w:sz="0" w:space="0" w:color="auto"/>
        <w:left w:val="none" w:sz="0" w:space="0" w:color="auto"/>
        <w:bottom w:val="none" w:sz="0" w:space="0" w:color="auto"/>
        <w:right w:val="none" w:sz="0" w:space="0" w:color="auto"/>
      </w:divBdr>
    </w:div>
    <w:div w:id="1828089398">
      <w:marLeft w:val="0"/>
      <w:marRight w:val="0"/>
      <w:marTop w:val="60"/>
      <w:marBottom w:val="0"/>
      <w:divBdr>
        <w:top w:val="none" w:sz="0" w:space="0" w:color="auto"/>
        <w:left w:val="none" w:sz="0" w:space="0" w:color="auto"/>
        <w:bottom w:val="none" w:sz="0" w:space="0" w:color="auto"/>
        <w:right w:val="none" w:sz="0" w:space="0" w:color="auto"/>
      </w:divBdr>
    </w:div>
    <w:div w:id="1835140437">
      <w:marLeft w:val="0"/>
      <w:marRight w:val="0"/>
      <w:marTop w:val="0"/>
      <w:marBottom w:val="0"/>
      <w:divBdr>
        <w:top w:val="none" w:sz="0" w:space="0" w:color="auto"/>
        <w:left w:val="none" w:sz="0" w:space="0" w:color="auto"/>
        <w:bottom w:val="none" w:sz="0" w:space="0" w:color="auto"/>
        <w:right w:val="none" w:sz="0" w:space="0" w:color="auto"/>
      </w:divBdr>
    </w:div>
    <w:div w:id="1837304496">
      <w:marLeft w:val="0"/>
      <w:marRight w:val="0"/>
      <w:marTop w:val="60"/>
      <w:marBottom w:val="0"/>
      <w:divBdr>
        <w:top w:val="none" w:sz="0" w:space="0" w:color="auto"/>
        <w:left w:val="none" w:sz="0" w:space="0" w:color="auto"/>
        <w:bottom w:val="none" w:sz="0" w:space="0" w:color="auto"/>
        <w:right w:val="none" w:sz="0" w:space="0" w:color="auto"/>
      </w:divBdr>
    </w:div>
    <w:div w:id="1848135646">
      <w:marLeft w:val="0"/>
      <w:marRight w:val="0"/>
      <w:marTop w:val="100"/>
      <w:marBottom w:val="0"/>
      <w:divBdr>
        <w:top w:val="none" w:sz="0" w:space="0" w:color="auto"/>
        <w:left w:val="none" w:sz="0" w:space="0" w:color="auto"/>
        <w:bottom w:val="none" w:sz="0" w:space="0" w:color="auto"/>
        <w:right w:val="none" w:sz="0" w:space="0" w:color="auto"/>
      </w:divBdr>
    </w:div>
    <w:div w:id="1855001195">
      <w:marLeft w:val="0"/>
      <w:marRight w:val="0"/>
      <w:marTop w:val="100"/>
      <w:marBottom w:val="0"/>
      <w:divBdr>
        <w:top w:val="none" w:sz="0" w:space="0" w:color="auto"/>
        <w:left w:val="none" w:sz="0" w:space="0" w:color="auto"/>
        <w:bottom w:val="none" w:sz="0" w:space="0" w:color="auto"/>
        <w:right w:val="none" w:sz="0" w:space="0" w:color="auto"/>
      </w:divBdr>
    </w:div>
    <w:div w:id="1858420292">
      <w:marLeft w:val="0"/>
      <w:marRight w:val="0"/>
      <w:marTop w:val="280"/>
      <w:marBottom w:val="0"/>
      <w:divBdr>
        <w:top w:val="none" w:sz="0" w:space="0" w:color="auto"/>
        <w:left w:val="none" w:sz="0" w:space="0" w:color="auto"/>
        <w:bottom w:val="none" w:sz="0" w:space="0" w:color="auto"/>
        <w:right w:val="none" w:sz="0" w:space="0" w:color="auto"/>
      </w:divBdr>
    </w:div>
    <w:div w:id="1859126115">
      <w:marLeft w:val="0"/>
      <w:marRight w:val="0"/>
      <w:marTop w:val="0"/>
      <w:marBottom w:val="0"/>
      <w:divBdr>
        <w:top w:val="none" w:sz="0" w:space="0" w:color="auto"/>
        <w:left w:val="none" w:sz="0" w:space="0" w:color="auto"/>
        <w:bottom w:val="none" w:sz="0" w:space="0" w:color="auto"/>
        <w:right w:val="none" w:sz="0" w:space="0" w:color="auto"/>
      </w:divBdr>
      <w:divsChild>
        <w:div w:id="1824933015">
          <w:marLeft w:val="0"/>
          <w:marRight w:val="0"/>
          <w:marTop w:val="0"/>
          <w:marBottom w:val="0"/>
          <w:divBdr>
            <w:top w:val="none" w:sz="0" w:space="0" w:color="auto"/>
            <w:left w:val="none" w:sz="0" w:space="0" w:color="auto"/>
            <w:bottom w:val="none" w:sz="0" w:space="0" w:color="auto"/>
            <w:right w:val="none" w:sz="0" w:space="0" w:color="auto"/>
          </w:divBdr>
        </w:div>
      </w:divsChild>
    </w:div>
    <w:div w:id="1867060272">
      <w:marLeft w:val="0"/>
      <w:marRight w:val="0"/>
      <w:marTop w:val="100"/>
      <w:marBottom w:val="0"/>
      <w:divBdr>
        <w:top w:val="none" w:sz="0" w:space="0" w:color="auto"/>
        <w:left w:val="none" w:sz="0" w:space="0" w:color="auto"/>
        <w:bottom w:val="none" w:sz="0" w:space="0" w:color="auto"/>
        <w:right w:val="none" w:sz="0" w:space="0" w:color="auto"/>
      </w:divBdr>
    </w:div>
    <w:div w:id="1867908947">
      <w:marLeft w:val="0"/>
      <w:marRight w:val="0"/>
      <w:marTop w:val="100"/>
      <w:marBottom w:val="0"/>
      <w:divBdr>
        <w:top w:val="none" w:sz="0" w:space="0" w:color="auto"/>
        <w:left w:val="none" w:sz="0" w:space="0" w:color="auto"/>
        <w:bottom w:val="none" w:sz="0" w:space="0" w:color="auto"/>
        <w:right w:val="none" w:sz="0" w:space="0" w:color="auto"/>
      </w:divBdr>
    </w:div>
    <w:div w:id="1869416755">
      <w:marLeft w:val="0"/>
      <w:marRight w:val="0"/>
      <w:marTop w:val="100"/>
      <w:marBottom w:val="0"/>
      <w:divBdr>
        <w:top w:val="none" w:sz="0" w:space="0" w:color="auto"/>
        <w:left w:val="none" w:sz="0" w:space="0" w:color="auto"/>
        <w:bottom w:val="none" w:sz="0" w:space="0" w:color="auto"/>
        <w:right w:val="none" w:sz="0" w:space="0" w:color="auto"/>
      </w:divBdr>
    </w:div>
    <w:div w:id="1871796603">
      <w:marLeft w:val="0"/>
      <w:marRight w:val="0"/>
      <w:marTop w:val="100"/>
      <w:marBottom w:val="0"/>
      <w:divBdr>
        <w:top w:val="none" w:sz="0" w:space="0" w:color="auto"/>
        <w:left w:val="none" w:sz="0" w:space="0" w:color="auto"/>
        <w:bottom w:val="none" w:sz="0" w:space="0" w:color="auto"/>
        <w:right w:val="none" w:sz="0" w:space="0" w:color="auto"/>
      </w:divBdr>
    </w:div>
    <w:div w:id="1874882505">
      <w:marLeft w:val="0"/>
      <w:marRight w:val="0"/>
      <w:marTop w:val="100"/>
      <w:marBottom w:val="0"/>
      <w:divBdr>
        <w:top w:val="none" w:sz="0" w:space="0" w:color="auto"/>
        <w:left w:val="none" w:sz="0" w:space="0" w:color="auto"/>
        <w:bottom w:val="none" w:sz="0" w:space="0" w:color="auto"/>
        <w:right w:val="none" w:sz="0" w:space="0" w:color="auto"/>
      </w:divBdr>
    </w:div>
    <w:div w:id="1879201013">
      <w:marLeft w:val="0"/>
      <w:marRight w:val="0"/>
      <w:marTop w:val="100"/>
      <w:marBottom w:val="0"/>
      <w:divBdr>
        <w:top w:val="none" w:sz="0" w:space="0" w:color="auto"/>
        <w:left w:val="none" w:sz="0" w:space="0" w:color="auto"/>
        <w:bottom w:val="none" w:sz="0" w:space="0" w:color="auto"/>
        <w:right w:val="none" w:sz="0" w:space="0" w:color="auto"/>
      </w:divBdr>
    </w:div>
    <w:div w:id="1884825517">
      <w:marLeft w:val="0"/>
      <w:marRight w:val="0"/>
      <w:marTop w:val="100"/>
      <w:marBottom w:val="0"/>
      <w:divBdr>
        <w:top w:val="none" w:sz="0" w:space="0" w:color="auto"/>
        <w:left w:val="none" w:sz="0" w:space="0" w:color="auto"/>
        <w:bottom w:val="none" w:sz="0" w:space="0" w:color="auto"/>
        <w:right w:val="none" w:sz="0" w:space="0" w:color="auto"/>
      </w:divBdr>
    </w:div>
    <w:div w:id="1889144476">
      <w:marLeft w:val="0"/>
      <w:marRight w:val="0"/>
      <w:marTop w:val="100"/>
      <w:marBottom w:val="0"/>
      <w:divBdr>
        <w:top w:val="none" w:sz="0" w:space="0" w:color="auto"/>
        <w:left w:val="none" w:sz="0" w:space="0" w:color="auto"/>
        <w:bottom w:val="none" w:sz="0" w:space="0" w:color="auto"/>
        <w:right w:val="none" w:sz="0" w:space="0" w:color="auto"/>
      </w:divBdr>
    </w:div>
    <w:div w:id="1890678255">
      <w:marLeft w:val="0"/>
      <w:marRight w:val="0"/>
      <w:marTop w:val="280"/>
      <w:marBottom w:val="0"/>
      <w:divBdr>
        <w:top w:val="none" w:sz="0" w:space="0" w:color="auto"/>
        <w:left w:val="none" w:sz="0" w:space="0" w:color="auto"/>
        <w:bottom w:val="none" w:sz="0" w:space="0" w:color="auto"/>
        <w:right w:val="none" w:sz="0" w:space="0" w:color="auto"/>
      </w:divBdr>
    </w:div>
    <w:div w:id="1893618803">
      <w:marLeft w:val="0"/>
      <w:marRight w:val="0"/>
      <w:marTop w:val="0"/>
      <w:marBottom w:val="0"/>
      <w:divBdr>
        <w:top w:val="none" w:sz="0" w:space="0" w:color="auto"/>
        <w:left w:val="none" w:sz="0" w:space="0" w:color="auto"/>
        <w:bottom w:val="none" w:sz="0" w:space="0" w:color="auto"/>
        <w:right w:val="none" w:sz="0" w:space="0" w:color="auto"/>
      </w:divBdr>
    </w:div>
    <w:div w:id="1896963998">
      <w:marLeft w:val="0"/>
      <w:marRight w:val="0"/>
      <w:marTop w:val="100"/>
      <w:marBottom w:val="0"/>
      <w:divBdr>
        <w:top w:val="none" w:sz="0" w:space="0" w:color="auto"/>
        <w:left w:val="none" w:sz="0" w:space="0" w:color="auto"/>
        <w:bottom w:val="none" w:sz="0" w:space="0" w:color="auto"/>
        <w:right w:val="none" w:sz="0" w:space="0" w:color="auto"/>
      </w:divBdr>
    </w:div>
    <w:div w:id="1900362255">
      <w:marLeft w:val="0"/>
      <w:marRight w:val="0"/>
      <w:marTop w:val="100"/>
      <w:marBottom w:val="0"/>
      <w:divBdr>
        <w:top w:val="none" w:sz="0" w:space="0" w:color="auto"/>
        <w:left w:val="none" w:sz="0" w:space="0" w:color="auto"/>
        <w:bottom w:val="none" w:sz="0" w:space="0" w:color="auto"/>
        <w:right w:val="none" w:sz="0" w:space="0" w:color="auto"/>
      </w:divBdr>
    </w:div>
    <w:div w:id="1911571352">
      <w:marLeft w:val="0"/>
      <w:marRight w:val="0"/>
      <w:marTop w:val="280"/>
      <w:marBottom w:val="0"/>
      <w:divBdr>
        <w:top w:val="none" w:sz="0" w:space="0" w:color="auto"/>
        <w:left w:val="none" w:sz="0" w:space="0" w:color="auto"/>
        <w:bottom w:val="none" w:sz="0" w:space="0" w:color="auto"/>
        <w:right w:val="none" w:sz="0" w:space="0" w:color="auto"/>
      </w:divBdr>
    </w:div>
    <w:div w:id="1922717310">
      <w:marLeft w:val="0"/>
      <w:marRight w:val="0"/>
      <w:marTop w:val="280"/>
      <w:marBottom w:val="0"/>
      <w:divBdr>
        <w:top w:val="none" w:sz="0" w:space="0" w:color="auto"/>
        <w:left w:val="none" w:sz="0" w:space="0" w:color="auto"/>
        <w:bottom w:val="none" w:sz="0" w:space="0" w:color="auto"/>
        <w:right w:val="none" w:sz="0" w:space="0" w:color="auto"/>
      </w:divBdr>
    </w:div>
    <w:div w:id="1928270829">
      <w:marLeft w:val="0"/>
      <w:marRight w:val="0"/>
      <w:marTop w:val="100"/>
      <w:marBottom w:val="0"/>
      <w:divBdr>
        <w:top w:val="none" w:sz="0" w:space="0" w:color="auto"/>
        <w:left w:val="none" w:sz="0" w:space="0" w:color="auto"/>
        <w:bottom w:val="none" w:sz="0" w:space="0" w:color="auto"/>
        <w:right w:val="none" w:sz="0" w:space="0" w:color="auto"/>
      </w:divBdr>
    </w:div>
    <w:div w:id="1932540591">
      <w:marLeft w:val="0"/>
      <w:marRight w:val="0"/>
      <w:marTop w:val="100"/>
      <w:marBottom w:val="0"/>
      <w:divBdr>
        <w:top w:val="none" w:sz="0" w:space="0" w:color="auto"/>
        <w:left w:val="none" w:sz="0" w:space="0" w:color="auto"/>
        <w:bottom w:val="none" w:sz="0" w:space="0" w:color="auto"/>
        <w:right w:val="none" w:sz="0" w:space="0" w:color="auto"/>
      </w:divBdr>
    </w:div>
    <w:div w:id="1933009893">
      <w:marLeft w:val="0"/>
      <w:marRight w:val="0"/>
      <w:marTop w:val="100"/>
      <w:marBottom w:val="0"/>
      <w:divBdr>
        <w:top w:val="none" w:sz="0" w:space="0" w:color="auto"/>
        <w:left w:val="none" w:sz="0" w:space="0" w:color="auto"/>
        <w:bottom w:val="none" w:sz="0" w:space="0" w:color="auto"/>
        <w:right w:val="none" w:sz="0" w:space="0" w:color="auto"/>
      </w:divBdr>
    </w:div>
    <w:div w:id="1936740784">
      <w:marLeft w:val="0"/>
      <w:marRight w:val="0"/>
      <w:marTop w:val="60"/>
      <w:marBottom w:val="0"/>
      <w:divBdr>
        <w:top w:val="none" w:sz="0" w:space="0" w:color="auto"/>
        <w:left w:val="none" w:sz="0" w:space="0" w:color="auto"/>
        <w:bottom w:val="none" w:sz="0" w:space="0" w:color="auto"/>
        <w:right w:val="none" w:sz="0" w:space="0" w:color="auto"/>
      </w:divBdr>
    </w:div>
    <w:div w:id="1937056255">
      <w:marLeft w:val="0"/>
      <w:marRight w:val="0"/>
      <w:marTop w:val="0"/>
      <w:marBottom w:val="0"/>
      <w:divBdr>
        <w:top w:val="none" w:sz="0" w:space="0" w:color="auto"/>
        <w:left w:val="none" w:sz="0" w:space="0" w:color="auto"/>
        <w:bottom w:val="none" w:sz="0" w:space="0" w:color="auto"/>
        <w:right w:val="none" w:sz="0" w:space="0" w:color="auto"/>
      </w:divBdr>
    </w:div>
    <w:div w:id="1940676034">
      <w:marLeft w:val="0"/>
      <w:marRight w:val="0"/>
      <w:marTop w:val="280"/>
      <w:marBottom w:val="0"/>
      <w:divBdr>
        <w:top w:val="none" w:sz="0" w:space="0" w:color="auto"/>
        <w:left w:val="none" w:sz="0" w:space="0" w:color="auto"/>
        <w:bottom w:val="none" w:sz="0" w:space="0" w:color="auto"/>
        <w:right w:val="none" w:sz="0" w:space="0" w:color="auto"/>
      </w:divBdr>
    </w:div>
    <w:div w:id="1948341303">
      <w:marLeft w:val="0"/>
      <w:marRight w:val="0"/>
      <w:marTop w:val="100"/>
      <w:marBottom w:val="0"/>
      <w:divBdr>
        <w:top w:val="none" w:sz="0" w:space="0" w:color="auto"/>
        <w:left w:val="none" w:sz="0" w:space="0" w:color="auto"/>
        <w:bottom w:val="none" w:sz="0" w:space="0" w:color="auto"/>
        <w:right w:val="none" w:sz="0" w:space="0" w:color="auto"/>
      </w:divBdr>
    </w:div>
    <w:div w:id="1954089835">
      <w:marLeft w:val="0"/>
      <w:marRight w:val="0"/>
      <w:marTop w:val="100"/>
      <w:marBottom w:val="0"/>
      <w:divBdr>
        <w:top w:val="none" w:sz="0" w:space="0" w:color="auto"/>
        <w:left w:val="none" w:sz="0" w:space="0" w:color="auto"/>
        <w:bottom w:val="none" w:sz="0" w:space="0" w:color="auto"/>
        <w:right w:val="none" w:sz="0" w:space="0" w:color="auto"/>
      </w:divBdr>
    </w:div>
    <w:div w:id="1958173547">
      <w:marLeft w:val="0"/>
      <w:marRight w:val="0"/>
      <w:marTop w:val="100"/>
      <w:marBottom w:val="0"/>
      <w:divBdr>
        <w:top w:val="none" w:sz="0" w:space="0" w:color="auto"/>
        <w:left w:val="none" w:sz="0" w:space="0" w:color="auto"/>
        <w:bottom w:val="none" w:sz="0" w:space="0" w:color="auto"/>
        <w:right w:val="none" w:sz="0" w:space="0" w:color="auto"/>
      </w:divBdr>
    </w:div>
    <w:div w:id="1963724441">
      <w:marLeft w:val="0"/>
      <w:marRight w:val="0"/>
      <w:marTop w:val="100"/>
      <w:marBottom w:val="0"/>
      <w:divBdr>
        <w:top w:val="none" w:sz="0" w:space="0" w:color="auto"/>
        <w:left w:val="none" w:sz="0" w:space="0" w:color="auto"/>
        <w:bottom w:val="none" w:sz="0" w:space="0" w:color="auto"/>
        <w:right w:val="none" w:sz="0" w:space="0" w:color="auto"/>
      </w:divBdr>
    </w:div>
    <w:div w:id="1965505961">
      <w:marLeft w:val="0"/>
      <w:marRight w:val="0"/>
      <w:marTop w:val="100"/>
      <w:marBottom w:val="0"/>
      <w:divBdr>
        <w:top w:val="none" w:sz="0" w:space="0" w:color="auto"/>
        <w:left w:val="none" w:sz="0" w:space="0" w:color="auto"/>
        <w:bottom w:val="none" w:sz="0" w:space="0" w:color="auto"/>
        <w:right w:val="none" w:sz="0" w:space="0" w:color="auto"/>
      </w:divBdr>
    </w:div>
    <w:div w:id="1970747933">
      <w:marLeft w:val="0"/>
      <w:marRight w:val="0"/>
      <w:marTop w:val="0"/>
      <w:marBottom w:val="100"/>
      <w:divBdr>
        <w:top w:val="none" w:sz="0" w:space="0" w:color="auto"/>
        <w:left w:val="none" w:sz="0" w:space="0" w:color="auto"/>
        <w:bottom w:val="none" w:sz="0" w:space="0" w:color="auto"/>
        <w:right w:val="none" w:sz="0" w:space="0" w:color="auto"/>
      </w:divBdr>
      <w:divsChild>
        <w:div w:id="1781026030">
          <w:marLeft w:val="0"/>
          <w:marRight w:val="0"/>
          <w:marTop w:val="0"/>
          <w:marBottom w:val="0"/>
          <w:divBdr>
            <w:top w:val="none" w:sz="0" w:space="0" w:color="auto"/>
            <w:left w:val="none" w:sz="0" w:space="0" w:color="auto"/>
            <w:bottom w:val="none" w:sz="0" w:space="0" w:color="auto"/>
            <w:right w:val="none" w:sz="0" w:space="0" w:color="auto"/>
          </w:divBdr>
        </w:div>
      </w:divsChild>
    </w:div>
    <w:div w:id="1974017879">
      <w:marLeft w:val="0"/>
      <w:marRight w:val="0"/>
      <w:marTop w:val="120"/>
      <w:marBottom w:val="120"/>
      <w:divBdr>
        <w:top w:val="none" w:sz="0" w:space="0" w:color="auto"/>
        <w:left w:val="none" w:sz="0" w:space="0" w:color="auto"/>
        <w:bottom w:val="none" w:sz="0" w:space="0" w:color="auto"/>
        <w:right w:val="none" w:sz="0" w:space="0" w:color="auto"/>
      </w:divBdr>
      <w:divsChild>
        <w:div w:id="610861302">
          <w:marLeft w:val="0"/>
          <w:marRight w:val="0"/>
          <w:marTop w:val="0"/>
          <w:marBottom w:val="0"/>
          <w:divBdr>
            <w:top w:val="none" w:sz="0" w:space="0" w:color="auto"/>
            <w:left w:val="none" w:sz="0" w:space="0" w:color="auto"/>
            <w:bottom w:val="none" w:sz="0" w:space="0" w:color="auto"/>
            <w:right w:val="none" w:sz="0" w:space="0" w:color="auto"/>
          </w:divBdr>
        </w:div>
      </w:divsChild>
    </w:div>
    <w:div w:id="1974478103">
      <w:marLeft w:val="0"/>
      <w:marRight w:val="0"/>
      <w:marTop w:val="0"/>
      <w:marBottom w:val="0"/>
      <w:divBdr>
        <w:top w:val="none" w:sz="0" w:space="0" w:color="auto"/>
        <w:left w:val="none" w:sz="0" w:space="0" w:color="auto"/>
        <w:bottom w:val="none" w:sz="0" w:space="0" w:color="auto"/>
        <w:right w:val="none" w:sz="0" w:space="0" w:color="auto"/>
      </w:divBdr>
      <w:divsChild>
        <w:div w:id="1853062716">
          <w:marLeft w:val="0"/>
          <w:marRight w:val="0"/>
          <w:marTop w:val="0"/>
          <w:marBottom w:val="0"/>
          <w:divBdr>
            <w:top w:val="none" w:sz="0" w:space="0" w:color="auto"/>
            <w:left w:val="none" w:sz="0" w:space="0" w:color="auto"/>
            <w:bottom w:val="none" w:sz="0" w:space="0" w:color="auto"/>
            <w:right w:val="none" w:sz="0" w:space="0" w:color="auto"/>
          </w:divBdr>
        </w:div>
      </w:divsChild>
    </w:div>
    <w:div w:id="1981420877">
      <w:marLeft w:val="0"/>
      <w:marRight w:val="0"/>
      <w:marTop w:val="60"/>
      <w:marBottom w:val="0"/>
      <w:divBdr>
        <w:top w:val="none" w:sz="0" w:space="0" w:color="auto"/>
        <w:left w:val="none" w:sz="0" w:space="0" w:color="auto"/>
        <w:bottom w:val="none" w:sz="0" w:space="0" w:color="auto"/>
        <w:right w:val="none" w:sz="0" w:space="0" w:color="auto"/>
      </w:divBdr>
    </w:div>
    <w:div w:id="1981955187">
      <w:marLeft w:val="0"/>
      <w:marRight w:val="0"/>
      <w:marTop w:val="0"/>
      <w:marBottom w:val="0"/>
      <w:divBdr>
        <w:top w:val="none" w:sz="0" w:space="0" w:color="auto"/>
        <w:left w:val="none" w:sz="0" w:space="0" w:color="auto"/>
        <w:bottom w:val="none" w:sz="0" w:space="0" w:color="auto"/>
        <w:right w:val="none" w:sz="0" w:space="0" w:color="auto"/>
      </w:divBdr>
      <w:divsChild>
        <w:div w:id="153763954">
          <w:marLeft w:val="0"/>
          <w:marRight w:val="0"/>
          <w:marTop w:val="0"/>
          <w:marBottom w:val="0"/>
          <w:divBdr>
            <w:top w:val="none" w:sz="0" w:space="0" w:color="auto"/>
            <w:left w:val="none" w:sz="0" w:space="0" w:color="auto"/>
            <w:bottom w:val="none" w:sz="0" w:space="0" w:color="auto"/>
            <w:right w:val="none" w:sz="0" w:space="0" w:color="auto"/>
          </w:divBdr>
        </w:div>
      </w:divsChild>
    </w:div>
    <w:div w:id="1985812983">
      <w:marLeft w:val="0"/>
      <w:marRight w:val="0"/>
      <w:marTop w:val="60"/>
      <w:marBottom w:val="0"/>
      <w:divBdr>
        <w:top w:val="none" w:sz="0" w:space="0" w:color="auto"/>
        <w:left w:val="none" w:sz="0" w:space="0" w:color="auto"/>
        <w:bottom w:val="none" w:sz="0" w:space="0" w:color="auto"/>
        <w:right w:val="none" w:sz="0" w:space="0" w:color="auto"/>
      </w:divBdr>
    </w:div>
    <w:div w:id="1987315009">
      <w:marLeft w:val="0"/>
      <w:marRight w:val="0"/>
      <w:marTop w:val="280"/>
      <w:marBottom w:val="0"/>
      <w:divBdr>
        <w:top w:val="none" w:sz="0" w:space="0" w:color="auto"/>
        <w:left w:val="none" w:sz="0" w:space="0" w:color="auto"/>
        <w:bottom w:val="none" w:sz="0" w:space="0" w:color="auto"/>
        <w:right w:val="none" w:sz="0" w:space="0" w:color="auto"/>
      </w:divBdr>
    </w:div>
    <w:div w:id="1996837766">
      <w:marLeft w:val="0"/>
      <w:marRight w:val="0"/>
      <w:marTop w:val="100"/>
      <w:marBottom w:val="0"/>
      <w:divBdr>
        <w:top w:val="none" w:sz="0" w:space="0" w:color="auto"/>
        <w:left w:val="none" w:sz="0" w:space="0" w:color="auto"/>
        <w:bottom w:val="none" w:sz="0" w:space="0" w:color="auto"/>
        <w:right w:val="none" w:sz="0" w:space="0" w:color="auto"/>
      </w:divBdr>
    </w:div>
    <w:div w:id="1997222821">
      <w:marLeft w:val="0"/>
      <w:marRight w:val="0"/>
      <w:marTop w:val="100"/>
      <w:marBottom w:val="0"/>
      <w:divBdr>
        <w:top w:val="none" w:sz="0" w:space="0" w:color="auto"/>
        <w:left w:val="none" w:sz="0" w:space="0" w:color="auto"/>
        <w:bottom w:val="none" w:sz="0" w:space="0" w:color="auto"/>
        <w:right w:val="none" w:sz="0" w:space="0" w:color="auto"/>
      </w:divBdr>
    </w:div>
    <w:div w:id="1997950961">
      <w:marLeft w:val="0"/>
      <w:marRight w:val="0"/>
      <w:marTop w:val="100"/>
      <w:marBottom w:val="0"/>
      <w:divBdr>
        <w:top w:val="none" w:sz="0" w:space="0" w:color="auto"/>
        <w:left w:val="none" w:sz="0" w:space="0" w:color="auto"/>
        <w:bottom w:val="none" w:sz="0" w:space="0" w:color="auto"/>
        <w:right w:val="none" w:sz="0" w:space="0" w:color="auto"/>
      </w:divBdr>
    </w:div>
    <w:div w:id="2000764707">
      <w:marLeft w:val="0"/>
      <w:marRight w:val="0"/>
      <w:marTop w:val="280"/>
      <w:marBottom w:val="0"/>
      <w:divBdr>
        <w:top w:val="none" w:sz="0" w:space="0" w:color="auto"/>
        <w:left w:val="none" w:sz="0" w:space="0" w:color="auto"/>
        <w:bottom w:val="none" w:sz="0" w:space="0" w:color="auto"/>
        <w:right w:val="none" w:sz="0" w:space="0" w:color="auto"/>
      </w:divBdr>
    </w:div>
    <w:div w:id="2005427883">
      <w:marLeft w:val="0"/>
      <w:marRight w:val="0"/>
      <w:marTop w:val="100"/>
      <w:marBottom w:val="0"/>
      <w:divBdr>
        <w:top w:val="none" w:sz="0" w:space="0" w:color="auto"/>
        <w:left w:val="none" w:sz="0" w:space="0" w:color="auto"/>
        <w:bottom w:val="none" w:sz="0" w:space="0" w:color="auto"/>
        <w:right w:val="none" w:sz="0" w:space="0" w:color="auto"/>
      </w:divBdr>
    </w:div>
    <w:div w:id="2014215872">
      <w:marLeft w:val="0"/>
      <w:marRight w:val="0"/>
      <w:marTop w:val="100"/>
      <w:marBottom w:val="0"/>
      <w:divBdr>
        <w:top w:val="none" w:sz="0" w:space="0" w:color="auto"/>
        <w:left w:val="none" w:sz="0" w:space="0" w:color="auto"/>
        <w:bottom w:val="none" w:sz="0" w:space="0" w:color="auto"/>
        <w:right w:val="none" w:sz="0" w:space="0" w:color="auto"/>
      </w:divBdr>
    </w:div>
    <w:div w:id="2018575441">
      <w:marLeft w:val="0"/>
      <w:marRight w:val="0"/>
      <w:marTop w:val="100"/>
      <w:marBottom w:val="0"/>
      <w:divBdr>
        <w:top w:val="none" w:sz="0" w:space="0" w:color="auto"/>
        <w:left w:val="none" w:sz="0" w:space="0" w:color="auto"/>
        <w:bottom w:val="none" w:sz="0" w:space="0" w:color="auto"/>
        <w:right w:val="none" w:sz="0" w:space="0" w:color="auto"/>
      </w:divBdr>
    </w:div>
    <w:div w:id="2020810743">
      <w:marLeft w:val="0"/>
      <w:marRight w:val="0"/>
      <w:marTop w:val="0"/>
      <w:marBottom w:val="0"/>
      <w:divBdr>
        <w:top w:val="none" w:sz="0" w:space="0" w:color="auto"/>
        <w:left w:val="none" w:sz="0" w:space="0" w:color="auto"/>
        <w:bottom w:val="none" w:sz="0" w:space="0" w:color="auto"/>
        <w:right w:val="none" w:sz="0" w:space="0" w:color="auto"/>
      </w:divBdr>
      <w:divsChild>
        <w:div w:id="73935354">
          <w:marLeft w:val="0"/>
          <w:marRight w:val="0"/>
          <w:marTop w:val="0"/>
          <w:marBottom w:val="0"/>
          <w:divBdr>
            <w:top w:val="none" w:sz="0" w:space="0" w:color="auto"/>
            <w:left w:val="none" w:sz="0" w:space="0" w:color="auto"/>
            <w:bottom w:val="none" w:sz="0" w:space="0" w:color="auto"/>
            <w:right w:val="none" w:sz="0" w:space="0" w:color="auto"/>
          </w:divBdr>
        </w:div>
      </w:divsChild>
    </w:div>
    <w:div w:id="2024745272">
      <w:marLeft w:val="0"/>
      <w:marRight w:val="0"/>
      <w:marTop w:val="280"/>
      <w:marBottom w:val="0"/>
      <w:divBdr>
        <w:top w:val="none" w:sz="0" w:space="0" w:color="auto"/>
        <w:left w:val="none" w:sz="0" w:space="0" w:color="auto"/>
        <w:bottom w:val="none" w:sz="0" w:space="0" w:color="auto"/>
        <w:right w:val="none" w:sz="0" w:space="0" w:color="auto"/>
      </w:divBdr>
    </w:div>
    <w:div w:id="2036613810">
      <w:marLeft w:val="0"/>
      <w:marRight w:val="0"/>
      <w:marTop w:val="0"/>
      <w:marBottom w:val="0"/>
      <w:divBdr>
        <w:top w:val="none" w:sz="0" w:space="0" w:color="auto"/>
        <w:left w:val="none" w:sz="0" w:space="0" w:color="auto"/>
        <w:bottom w:val="none" w:sz="0" w:space="0" w:color="auto"/>
        <w:right w:val="none" w:sz="0" w:space="0" w:color="auto"/>
      </w:divBdr>
    </w:div>
    <w:div w:id="2037656725">
      <w:marLeft w:val="0"/>
      <w:marRight w:val="0"/>
      <w:marTop w:val="280"/>
      <w:marBottom w:val="0"/>
      <w:divBdr>
        <w:top w:val="none" w:sz="0" w:space="0" w:color="auto"/>
        <w:left w:val="none" w:sz="0" w:space="0" w:color="auto"/>
        <w:bottom w:val="none" w:sz="0" w:space="0" w:color="auto"/>
        <w:right w:val="none" w:sz="0" w:space="0" w:color="auto"/>
      </w:divBdr>
    </w:div>
    <w:div w:id="2038314840">
      <w:marLeft w:val="0"/>
      <w:marRight w:val="0"/>
      <w:marTop w:val="100"/>
      <w:marBottom w:val="0"/>
      <w:divBdr>
        <w:top w:val="none" w:sz="0" w:space="0" w:color="auto"/>
        <w:left w:val="none" w:sz="0" w:space="0" w:color="auto"/>
        <w:bottom w:val="none" w:sz="0" w:space="0" w:color="auto"/>
        <w:right w:val="none" w:sz="0" w:space="0" w:color="auto"/>
      </w:divBdr>
    </w:div>
    <w:div w:id="2041466340">
      <w:marLeft w:val="0"/>
      <w:marRight w:val="0"/>
      <w:marTop w:val="100"/>
      <w:marBottom w:val="0"/>
      <w:divBdr>
        <w:top w:val="none" w:sz="0" w:space="0" w:color="auto"/>
        <w:left w:val="none" w:sz="0" w:space="0" w:color="auto"/>
        <w:bottom w:val="none" w:sz="0" w:space="0" w:color="auto"/>
        <w:right w:val="none" w:sz="0" w:space="0" w:color="auto"/>
      </w:divBdr>
      <w:divsChild>
        <w:div w:id="823088000">
          <w:marLeft w:val="0"/>
          <w:marRight w:val="0"/>
          <w:marTop w:val="0"/>
          <w:marBottom w:val="0"/>
          <w:divBdr>
            <w:top w:val="none" w:sz="0" w:space="0" w:color="auto"/>
            <w:left w:val="none" w:sz="0" w:space="0" w:color="auto"/>
            <w:bottom w:val="none" w:sz="0" w:space="0" w:color="auto"/>
            <w:right w:val="none" w:sz="0" w:space="0" w:color="auto"/>
          </w:divBdr>
        </w:div>
      </w:divsChild>
    </w:div>
    <w:div w:id="2050184409">
      <w:marLeft w:val="0"/>
      <w:marRight w:val="0"/>
      <w:marTop w:val="100"/>
      <w:marBottom w:val="0"/>
      <w:divBdr>
        <w:top w:val="none" w:sz="0" w:space="0" w:color="auto"/>
        <w:left w:val="none" w:sz="0" w:space="0" w:color="auto"/>
        <w:bottom w:val="none" w:sz="0" w:space="0" w:color="auto"/>
        <w:right w:val="none" w:sz="0" w:space="0" w:color="auto"/>
      </w:divBdr>
    </w:div>
    <w:div w:id="2052728385">
      <w:marLeft w:val="0"/>
      <w:marRight w:val="0"/>
      <w:marTop w:val="100"/>
      <w:marBottom w:val="0"/>
      <w:divBdr>
        <w:top w:val="none" w:sz="0" w:space="0" w:color="auto"/>
        <w:left w:val="none" w:sz="0" w:space="0" w:color="auto"/>
        <w:bottom w:val="none" w:sz="0" w:space="0" w:color="auto"/>
        <w:right w:val="none" w:sz="0" w:space="0" w:color="auto"/>
      </w:divBdr>
    </w:div>
    <w:div w:id="2055033879">
      <w:marLeft w:val="0"/>
      <w:marRight w:val="0"/>
      <w:marTop w:val="280"/>
      <w:marBottom w:val="0"/>
      <w:divBdr>
        <w:top w:val="none" w:sz="0" w:space="0" w:color="auto"/>
        <w:left w:val="none" w:sz="0" w:space="0" w:color="auto"/>
        <w:bottom w:val="none" w:sz="0" w:space="0" w:color="auto"/>
        <w:right w:val="none" w:sz="0" w:space="0" w:color="auto"/>
      </w:divBdr>
    </w:div>
    <w:div w:id="2057580685">
      <w:marLeft w:val="0"/>
      <w:marRight w:val="0"/>
      <w:marTop w:val="60"/>
      <w:marBottom w:val="0"/>
      <w:divBdr>
        <w:top w:val="none" w:sz="0" w:space="0" w:color="auto"/>
        <w:left w:val="none" w:sz="0" w:space="0" w:color="auto"/>
        <w:bottom w:val="none" w:sz="0" w:space="0" w:color="auto"/>
        <w:right w:val="none" w:sz="0" w:space="0" w:color="auto"/>
      </w:divBdr>
    </w:div>
    <w:div w:id="2057925223">
      <w:marLeft w:val="0"/>
      <w:marRight w:val="0"/>
      <w:marTop w:val="0"/>
      <w:marBottom w:val="0"/>
      <w:divBdr>
        <w:top w:val="none" w:sz="0" w:space="0" w:color="auto"/>
        <w:left w:val="none" w:sz="0" w:space="0" w:color="auto"/>
        <w:bottom w:val="none" w:sz="0" w:space="0" w:color="auto"/>
        <w:right w:val="none" w:sz="0" w:space="0" w:color="auto"/>
      </w:divBdr>
    </w:div>
    <w:div w:id="2058240472">
      <w:marLeft w:val="0"/>
      <w:marRight w:val="0"/>
      <w:marTop w:val="280"/>
      <w:marBottom w:val="0"/>
      <w:divBdr>
        <w:top w:val="none" w:sz="0" w:space="0" w:color="auto"/>
        <w:left w:val="none" w:sz="0" w:space="0" w:color="auto"/>
        <w:bottom w:val="none" w:sz="0" w:space="0" w:color="auto"/>
        <w:right w:val="none" w:sz="0" w:space="0" w:color="auto"/>
      </w:divBdr>
    </w:div>
    <w:div w:id="2068451514">
      <w:marLeft w:val="0"/>
      <w:marRight w:val="0"/>
      <w:marTop w:val="100"/>
      <w:marBottom w:val="0"/>
      <w:divBdr>
        <w:top w:val="none" w:sz="0" w:space="0" w:color="auto"/>
        <w:left w:val="none" w:sz="0" w:space="0" w:color="auto"/>
        <w:bottom w:val="none" w:sz="0" w:space="0" w:color="auto"/>
        <w:right w:val="none" w:sz="0" w:space="0" w:color="auto"/>
      </w:divBdr>
    </w:div>
    <w:div w:id="2072339520">
      <w:marLeft w:val="0"/>
      <w:marRight w:val="0"/>
      <w:marTop w:val="100"/>
      <w:marBottom w:val="0"/>
      <w:divBdr>
        <w:top w:val="none" w:sz="0" w:space="0" w:color="auto"/>
        <w:left w:val="none" w:sz="0" w:space="0" w:color="auto"/>
        <w:bottom w:val="none" w:sz="0" w:space="0" w:color="auto"/>
        <w:right w:val="none" w:sz="0" w:space="0" w:color="auto"/>
      </w:divBdr>
    </w:div>
    <w:div w:id="2084834080">
      <w:marLeft w:val="0"/>
      <w:marRight w:val="0"/>
      <w:marTop w:val="100"/>
      <w:marBottom w:val="0"/>
      <w:divBdr>
        <w:top w:val="none" w:sz="0" w:space="0" w:color="auto"/>
        <w:left w:val="none" w:sz="0" w:space="0" w:color="auto"/>
        <w:bottom w:val="none" w:sz="0" w:space="0" w:color="auto"/>
        <w:right w:val="none" w:sz="0" w:space="0" w:color="auto"/>
      </w:divBdr>
    </w:div>
    <w:div w:id="2087602601">
      <w:marLeft w:val="0"/>
      <w:marRight w:val="0"/>
      <w:marTop w:val="0"/>
      <w:marBottom w:val="0"/>
      <w:divBdr>
        <w:top w:val="none" w:sz="0" w:space="0" w:color="auto"/>
        <w:left w:val="none" w:sz="0" w:space="0" w:color="auto"/>
        <w:bottom w:val="none" w:sz="0" w:space="0" w:color="auto"/>
        <w:right w:val="none" w:sz="0" w:space="0" w:color="auto"/>
      </w:divBdr>
    </w:div>
    <w:div w:id="2099208202">
      <w:marLeft w:val="0"/>
      <w:marRight w:val="0"/>
      <w:marTop w:val="100"/>
      <w:marBottom w:val="0"/>
      <w:divBdr>
        <w:top w:val="none" w:sz="0" w:space="0" w:color="auto"/>
        <w:left w:val="none" w:sz="0" w:space="0" w:color="auto"/>
        <w:bottom w:val="none" w:sz="0" w:space="0" w:color="auto"/>
        <w:right w:val="none" w:sz="0" w:space="0" w:color="auto"/>
      </w:divBdr>
    </w:div>
    <w:div w:id="2103721221">
      <w:marLeft w:val="0"/>
      <w:marRight w:val="0"/>
      <w:marTop w:val="100"/>
      <w:marBottom w:val="0"/>
      <w:divBdr>
        <w:top w:val="none" w:sz="0" w:space="0" w:color="auto"/>
        <w:left w:val="none" w:sz="0" w:space="0" w:color="auto"/>
        <w:bottom w:val="none" w:sz="0" w:space="0" w:color="auto"/>
        <w:right w:val="none" w:sz="0" w:space="0" w:color="auto"/>
      </w:divBdr>
    </w:div>
    <w:div w:id="2105177002">
      <w:marLeft w:val="0"/>
      <w:marRight w:val="0"/>
      <w:marTop w:val="100"/>
      <w:marBottom w:val="0"/>
      <w:divBdr>
        <w:top w:val="none" w:sz="0" w:space="0" w:color="auto"/>
        <w:left w:val="none" w:sz="0" w:space="0" w:color="auto"/>
        <w:bottom w:val="none" w:sz="0" w:space="0" w:color="auto"/>
        <w:right w:val="none" w:sz="0" w:space="0" w:color="auto"/>
      </w:divBdr>
    </w:div>
    <w:div w:id="2112044886">
      <w:marLeft w:val="0"/>
      <w:marRight w:val="0"/>
      <w:marTop w:val="280"/>
      <w:marBottom w:val="0"/>
      <w:divBdr>
        <w:top w:val="none" w:sz="0" w:space="0" w:color="auto"/>
        <w:left w:val="none" w:sz="0" w:space="0" w:color="auto"/>
        <w:bottom w:val="none" w:sz="0" w:space="0" w:color="auto"/>
        <w:right w:val="none" w:sz="0" w:space="0" w:color="auto"/>
      </w:divBdr>
    </w:div>
    <w:div w:id="2117477987">
      <w:marLeft w:val="0"/>
      <w:marRight w:val="0"/>
      <w:marTop w:val="60"/>
      <w:marBottom w:val="0"/>
      <w:divBdr>
        <w:top w:val="none" w:sz="0" w:space="0" w:color="auto"/>
        <w:left w:val="none" w:sz="0" w:space="0" w:color="auto"/>
        <w:bottom w:val="none" w:sz="0" w:space="0" w:color="auto"/>
        <w:right w:val="none" w:sz="0" w:space="0" w:color="auto"/>
      </w:divBdr>
    </w:div>
    <w:div w:id="2130929911">
      <w:marLeft w:val="0"/>
      <w:marRight w:val="0"/>
      <w:marTop w:val="0"/>
      <w:marBottom w:val="0"/>
      <w:divBdr>
        <w:top w:val="none" w:sz="0" w:space="0" w:color="auto"/>
        <w:left w:val="none" w:sz="0" w:space="0" w:color="auto"/>
        <w:bottom w:val="none" w:sz="0" w:space="0" w:color="auto"/>
        <w:right w:val="none" w:sz="0" w:space="0" w:color="auto"/>
      </w:divBdr>
      <w:divsChild>
        <w:div w:id="701856733">
          <w:marLeft w:val="0"/>
          <w:marRight w:val="0"/>
          <w:marTop w:val="0"/>
          <w:marBottom w:val="0"/>
          <w:divBdr>
            <w:top w:val="none" w:sz="0" w:space="0" w:color="auto"/>
            <w:left w:val="none" w:sz="0" w:space="0" w:color="auto"/>
            <w:bottom w:val="none" w:sz="0" w:space="0" w:color="auto"/>
            <w:right w:val="none" w:sz="0" w:space="0" w:color="auto"/>
          </w:divBdr>
        </w:div>
      </w:divsChild>
    </w:div>
    <w:div w:id="2131392314">
      <w:marLeft w:val="0"/>
      <w:marRight w:val="0"/>
      <w:marTop w:val="100"/>
      <w:marBottom w:val="0"/>
      <w:divBdr>
        <w:top w:val="none" w:sz="0" w:space="0" w:color="auto"/>
        <w:left w:val="none" w:sz="0" w:space="0" w:color="auto"/>
        <w:bottom w:val="none" w:sz="0" w:space="0" w:color="auto"/>
        <w:right w:val="none" w:sz="0" w:space="0" w:color="auto"/>
      </w:divBdr>
    </w:div>
    <w:div w:id="2131706993">
      <w:marLeft w:val="0"/>
      <w:marRight w:val="0"/>
      <w:marTop w:val="100"/>
      <w:marBottom w:val="0"/>
      <w:divBdr>
        <w:top w:val="none" w:sz="0" w:space="0" w:color="auto"/>
        <w:left w:val="none" w:sz="0" w:space="0" w:color="auto"/>
        <w:bottom w:val="none" w:sz="0" w:space="0" w:color="auto"/>
        <w:right w:val="none" w:sz="0" w:space="0" w:color="auto"/>
      </w:divBdr>
    </w:div>
    <w:div w:id="2137988900">
      <w:marLeft w:val="0"/>
      <w:marRight w:val="0"/>
      <w:marTop w:val="100"/>
      <w:marBottom w:val="0"/>
      <w:divBdr>
        <w:top w:val="none" w:sz="0" w:space="0" w:color="auto"/>
        <w:left w:val="none" w:sz="0" w:space="0" w:color="auto"/>
        <w:bottom w:val="none" w:sz="0" w:space="0" w:color="auto"/>
        <w:right w:val="none" w:sz="0" w:space="0" w:color="auto"/>
      </w:divBdr>
      <w:divsChild>
        <w:div w:id="1165852491">
          <w:marLeft w:val="0"/>
          <w:marRight w:val="0"/>
          <w:marTop w:val="0"/>
          <w:marBottom w:val="0"/>
          <w:divBdr>
            <w:top w:val="none" w:sz="0" w:space="0" w:color="auto"/>
            <w:left w:val="none" w:sz="0" w:space="0" w:color="auto"/>
            <w:bottom w:val="none" w:sz="0" w:space="0" w:color="auto"/>
            <w:right w:val="none" w:sz="0" w:space="0" w:color="auto"/>
          </w:divBdr>
        </w:div>
        <w:div w:id="386535486">
          <w:marLeft w:val="0"/>
          <w:marRight w:val="0"/>
          <w:marTop w:val="0"/>
          <w:marBottom w:val="0"/>
          <w:divBdr>
            <w:top w:val="none" w:sz="0" w:space="0" w:color="auto"/>
            <w:left w:val="none" w:sz="0" w:space="0" w:color="auto"/>
            <w:bottom w:val="none" w:sz="0" w:space="0" w:color="auto"/>
            <w:right w:val="none" w:sz="0" w:space="0" w:color="auto"/>
          </w:divBdr>
        </w:div>
        <w:div w:id="351566528">
          <w:marLeft w:val="0"/>
          <w:marRight w:val="0"/>
          <w:marTop w:val="0"/>
          <w:marBottom w:val="0"/>
          <w:divBdr>
            <w:top w:val="none" w:sz="0" w:space="0" w:color="auto"/>
            <w:left w:val="none" w:sz="0" w:space="0" w:color="auto"/>
            <w:bottom w:val="none" w:sz="0" w:space="0" w:color="auto"/>
            <w:right w:val="none" w:sz="0" w:space="0" w:color="auto"/>
          </w:divBdr>
        </w:div>
        <w:div w:id="1352413511">
          <w:marLeft w:val="0"/>
          <w:marRight w:val="0"/>
          <w:marTop w:val="0"/>
          <w:marBottom w:val="0"/>
          <w:divBdr>
            <w:top w:val="none" w:sz="0" w:space="0" w:color="auto"/>
            <w:left w:val="none" w:sz="0" w:space="0" w:color="auto"/>
            <w:bottom w:val="none" w:sz="0" w:space="0" w:color="auto"/>
            <w:right w:val="none" w:sz="0" w:space="0" w:color="auto"/>
          </w:divBdr>
        </w:div>
      </w:divsChild>
    </w:div>
    <w:div w:id="2141992689">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158172/000115817220000021/scor2019q410-k.htm" TargetMode="External"/><Relationship Id="rId13" Type="http://schemas.openxmlformats.org/officeDocument/2006/relationships/hyperlink" Target="http://www.sec.gov/Archives/edgar/data/1158172/000115817220000021/scor2019q410-k.htm" TargetMode="External"/><Relationship Id="rId18" Type="http://schemas.openxmlformats.org/officeDocument/2006/relationships/hyperlink" Target="https://www.sec.gov/ix?doc=/Archives/edgar/data/1158172/000115817220000060/scor-20200630.htm" TargetMode="External"/><Relationship Id="rId26" Type="http://schemas.openxmlformats.org/officeDocument/2006/relationships/hyperlink" Target="exhibit312-certificati.htm" TargetMode="External"/><Relationship Id="rId3" Type="http://schemas.openxmlformats.org/officeDocument/2006/relationships/webSettings" Target="webSettings.xml"/><Relationship Id="rId21" Type="http://schemas.openxmlformats.org/officeDocument/2006/relationships/hyperlink" Target="http://www.sec.gov/Archives/edgar/data/1158172/000119312517035566/d341700dex31.htm" TargetMode="External"/><Relationship Id="rId7" Type="http://schemas.openxmlformats.org/officeDocument/2006/relationships/hyperlink" Target="http://www.sec.gov/Archives/edgar/data/1158172/000115817220000021/scor2019q410-k.htm" TargetMode="External"/><Relationship Id="rId12" Type="http://schemas.openxmlformats.org/officeDocument/2006/relationships/hyperlink" Target="https://www.sec.gov/ix?doc=/Archives/edgar/data/1158172/000115817220000060/scor-20200630.htm" TargetMode="External"/><Relationship Id="rId17" Type="http://schemas.openxmlformats.org/officeDocument/2006/relationships/hyperlink" Target="https://www.sec.gov/ix?doc=/Archives/edgar/data/1158172/000115817220000036/scor2020q110-q.htm" TargetMode="External"/><Relationship Id="rId25" Type="http://schemas.openxmlformats.org/officeDocument/2006/relationships/hyperlink" Target="exhibit311-certificati.htm" TargetMode="External"/><Relationship Id="rId2" Type="http://schemas.openxmlformats.org/officeDocument/2006/relationships/settings" Target="settings.xml"/><Relationship Id="rId16" Type="http://schemas.openxmlformats.org/officeDocument/2006/relationships/hyperlink" Target="http://www.sec.gov/Archives/edgar/data/1158172/000115817220000021/scor2019q410-k.htm" TargetMode="External"/><Relationship Id="rId20" Type="http://schemas.openxmlformats.org/officeDocument/2006/relationships/hyperlink" Target="http://www.sec.gov/Archives/edgar/data/1158172/000115817218000091/certificateofamendmentauth.htm" TargetMode="External"/><Relationship Id="rId29" Type="http://schemas.openxmlformats.org/officeDocument/2006/relationships/image" Target="file:///E:\projects\LLMs\new_data_collection\data_new\htm\COMSCORE,%20INC\scor-20200930_g1.jpg" TargetMode="External"/><Relationship Id="rId1" Type="http://schemas.openxmlformats.org/officeDocument/2006/relationships/styles" Target="styles.xml"/><Relationship Id="rId6" Type="http://schemas.openxmlformats.org/officeDocument/2006/relationships/hyperlink" Target="http://www.sec.gov/ix?doc=/Archives/edgar/data/1158172/000115817220000060/scor-20200630.htm" TargetMode="External"/><Relationship Id="rId11" Type="http://schemas.openxmlformats.org/officeDocument/2006/relationships/hyperlink" Target="https://www.sec.gov/ix?doc=/Archives/edgar/data/1158172/000115817220000036/scor2020q110-q.htm" TargetMode="External"/><Relationship Id="rId24" Type="http://schemas.openxmlformats.org/officeDocument/2006/relationships/hyperlink" Target="http://www.sec.gov/Archives/edgar/data/1158172/000119312520193346/d19455dex101.htm" TargetMode="External"/><Relationship Id="rId5" Type="http://schemas.openxmlformats.org/officeDocument/2006/relationships/hyperlink" Target="https://www.sec.gov/ix?doc=/Archives/edgar/data/1158172/000115817220000036/scor2020q110-q.htm" TargetMode="External"/><Relationship Id="rId15" Type="http://schemas.openxmlformats.org/officeDocument/2006/relationships/hyperlink" Target="http://www.sec.gov/Archives/edgar/data/1158172/000115817220000021/scor2019q410-k.htm" TargetMode="External"/><Relationship Id="rId23" Type="http://schemas.openxmlformats.org/officeDocument/2006/relationships/hyperlink" Target="http://www.sec.gov/Archives/edgar/data/1158172/000115817218000160/exhibit32-amendedandrestat.htm" TargetMode="External"/><Relationship Id="rId28" Type="http://schemas.openxmlformats.org/officeDocument/2006/relationships/hyperlink" Target="exhibit322-certificati.htm" TargetMode="External"/><Relationship Id="rId10" Type="http://schemas.openxmlformats.org/officeDocument/2006/relationships/hyperlink" Target="https://www.sec.gov/ix?doc=/Archives/edgar/data/1158172/000115817220000060/scor-20200630.htm" TargetMode="External"/><Relationship Id="rId19" Type="http://schemas.openxmlformats.org/officeDocument/2006/relationships/hyperlink" Target="http://www.sec.gov/Archives/edgar/data/1158172/000095013307002643/x30988a3exv3w3.htm" TargetMode="External"/><Relationship Id="rId31" Type="http://schemas.openxmlformats.org/officeDocument/2006/relationships/theme" Target="theme/theme1.xml"/><Relationship Id="rId4" Type="http://schemas.openxmlformats.org/officeDocument/2006/relationships/hyperlink" Target="https://www.sec.gov/Archives/edgar/data/1158172/000115817220000021/scor2019q410-k.htm" TargetMode="External"/><Relationship Id="rId9" Type="http://schemas.openxmlformats.org/officeDocument/2006/relationships/hyperlink" Target="https://www.sec.gov/ix?doc=/Archives/edgar/data/1158172/000115817220000036/scor2020q110-q.htm" TargetMode="External"/><Relationship Id="rId14" Type="http://schemas.openxmlformats.org/officeDocument/2006/relationships/hyperlink" Target="http://www.sec.gov/Archives/edgar/data/1158172/000115817220000021/scor2019q410-k.htm" TargetMode="External"/><Relationship Id="rId22" Type="http://schemas.openxmlformats.org/officeDocument/2006/relationships/hyperlink" Target="http://www.sec.gov/Archives/edgar/data/1158172/000119312517303026/d458683dex31.htm" TargetMode="External"/><Relationship Id="rId27" Type="http://schemas.openxmlformats.org/officeDocument/2006/relationships/hyperlink" Target="exhibit321-certificati.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32530</Words>
  <Characters>185423</Characters>
  <Application>Microsoft Office Word</Application>
  <DocSecurity>0</DocSecurity>
  <Lines>1545</Lines>
  <Paragraphs>435</Paragraphs>
  <ScaleCrop>false</ScaleCrop>
  <Company/>
  <LinksUpToDate>false</LinksUpToDate>
  <CharactersWithSpaces>217518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scor-20200930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